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080" w:type="dxa"/>
        <w:tblInd w:w="250" w:type="dxa"/>
        <w:tblLook w:val="01E0" w:firstRow="1" w:lastRow="1" w:firstColumn="1" w:lastColumn="1" w:noHBand="0" w:noVBand="0"/>
      </w:tblPr>
      <w:tblGrid>
        <w:gridCol w:w="5238"/>
        <w:gridCol w:w="2842"/>
      </w:tblGrid>
      <w:tr w:rsidRPr="00C62F6E" w:rsidR="00B62A5C" w:rsidTr="00645A48" w14:paraId="0EC80D65" w14:textId="77777777">
        <w:tc>
          <w:tcPr>
            <w:tcW w:w="5238" w:type="dxa"/>
          </w:tcPr>
          <w:p w:rsidRPr="00C62F6E" w:rsidR="00645A48" w:rsidP="009460F8" w:rsidRDefault="0090499F" w14:paraId="49A2AC15" w14:textId="1B881675">
            <w:pPr>
              <w:keepNext/>
              <w:suppressAutoHyphens/>
              <w:spacing w:after="220"/>
              <w:ind w:left="-108"/>
              <w:jc w:val="left"/>
              <w:outlineLvl w:val="1"/>
              <w:rPr>
                <w:rFonts w:ascii="Times New Roman" w:hAnsi="Times New Roman" w:eastAsia="Microsoft JhengHei"/>
                <w:b/>
                <w:sz w:val="20"/>
              </w:rPr>
            </w:pPr>
            <w:r w:rsidRPr="00C62F6E">
              <w:rPr>
                <w:rFonts w:ascii="Times New Roman" w:hAnsi="Times New Roman" w:eastAsia="Microsoft JhengHei"/>
                <w:b/>
                <w:sz w:val="20"/>
              </w:rPr>
              <w:t xml:space="preserve">SUPPLEMENT No. </w:t>
            </w:r>
            <w:r w:rsidR="00D94C8B">
              <w:rPr>
                <w:rFonts w:ascii="Times New Roman" w:hAnsi="Times New Roman" w:eastAsia="Microsoft JhengHei"/>
                <w:b/>
                <w:sz w:val="20"/>
              </w:rPr>
              <w:t>4</w:t>
            </w:r>
            <w:r w:rsidRPr="00C62F6E" w:rsidR="000871B4">
              <w:rPr>
                <w:rFonts w:ascii="Times New Roman" w:hAnsi="Times New Roman" w:eastAsia="Microsoft JhengHei"/>
                <w:b/>
                <w:sz w:val="20"/>
              </w:rPr>
              <w:t xml:space="preserve"> </w:t>
            </w:r>
            <w:r w:rsidRPr="00C62F6E">
              <w:rPr>
                <w:rFonts w:ascii="Times New Roman" w:hAnsi="Times New Roman" w:eastAsia="Microsoft JhengHei"/>
                <w:b/>
                <w:sz w:val="20"/>
              </w:rPr>
              <w:t>DATED</w:t>
            </w:r>
            <w:r w:rsidRPr="00C62F6E" w:rsidR="000871B4">
              <w:rPr>
                <w:rFonts w:ascii="Times New Roman" w:hAnsi="Times New Roman" w:eastAsia="Microsoft JhengHei"/>
                <w:b/>
                <w:sz w:val="20"/>
              </w:rPr>
              <w:t xml:space="preserve"> </w:t>
            </w:r>
            <w:bookmarkStart w:name="_Hlk146638148" w:id="0"/>
            <w:r w:rsidR="00B73B5E">
              <w:rPr>
                <w:rFonts w:ascii="Times New Roman" w:hAnsi="Times New Roman" w:eastAsia="Microsoft JhengHei"/>
                <w:b/>
                <w:sz w:val="20"/>
              </w:rPr>
              <w:t xml:space="preserve">30 </w:t>
            </w:r>
            <w:r w:rsidRPr="00C62F6E" w:rsidR="00860F11">
              <w:rPr>
                <w:rFonts w:ascii="Times New Roman" w:hAnsi="Times New Roman" w:eastAsia="Microsoft JhengHei"/>
                <w:b/>
                <w:sz w:val="20"/>
              </w:rPr>
              <w:t>JULY</w:t>
            </w:r>
            <w:r w:rsidRPr="00C62F6E" w:rsidR="00C9548C">
              <w:rPr>
                <w:rFonts w:ascii="Times New Roman" w:hAnsi="Times New Roman" w:eastAsia="Microsoft JhengHei"/>
                <w:b/>
                <w:sz w:val="20"/>
              </w:rPr>
              <w:t xml:space="preserve"> </w:t>
            </w:r>
            <w:r w:rsidRPr="00C62F6E" w:rsidR="00692D0A">
              <w:rPr>
                <w:rFonts w:ascii="Times New Roman" w:hAnsi="Times New Roman" w:eastAsia="Microsoft JhengHei"/>
                <w:b/>
                <w:sz w:val="20"/>
              </w:rPr>
              <w:t>202</w:t>
            </w:r>
            <w:r w:rsidRPr="00C62F6E" w:rsidR="00C9548C">
              <w:rPr>
                <w:rFonts w:ascii="Times New Roman" w:hAnsi="Times New Roman" w:eastAsia="Microsoft JhengHei"/>
                <w:b/>
                <w:sz w:val="20"/>
              </w:rPr>
              <w:t>6</w:t>
            </w:r>
            <w:r w:rsidRPr="00C62F6E">
              <w:rPr>
                <w:rFonts w:ascii="Times New Roman" w:hAnsi="Times New Roman" w:eastAsia="Microsoft JhengHei"/>
                <w:b/>
                <w:sz w:val="20"/>
              </w:rPr>
              <w:t xml:space="preserve"> </w:t>
            </w:r>
            <w:bookmarkEnd w:id="0"/>
            <w:r w:rsidRPr="00C62F6E">
              <w:rPr>
                <w:rFonts w:ascii="Times New Roman" w:hAnsi="Times New Roman" w:eastAsia="Microsoft JhengHei"/>
                <w:b/>
                <w:sz w:val="20"/>
              </w:rPr>
              <w:t xml:space="preserve">TO THE OFFERING CIRCULAR DATED </w:t>
            </w:r>
            <w:r w:rsidRPr="00C62F6E" w:rsidR="00692D0A">
              <w:rPr>
                <w:rFonts w:ascii="Times New Roman" w:hAnsi="Times New Roman" w:eastAsia="Microsoft JhengHei"/>
                <w:b/>
                <w:sz w:val="20"/>
              </w:rPr>
              <w:t>1</w:t>
            </w:r>
            <w:r w:rsidRPr="00C62F6E" w:rsidR="00E61C98">
              <w:rPr>
                <w:rFonts w:ascii="Times New Roman" w:hAnsi="Times New Roman" w:eastAsia="Microsoft JhengHei"/>
                <w:b/>
                <w:sz w:val="20"/>
              </w:rPr>
              <w:t>6</w:t>
            </w:r>
            <w:r w:rsidRPr="00C62F6E" w:rsidR="00692D0A">
              <w:rPr>
                <w:rFonts w:ascii="Times New Roman" w:hAnsi="Times New Roman" w:eastAsia="Microsoft JhengHei"/>
                <w:b/>
                <w:sz w:val="20"/>
              </w:rPr>
              <w:t xml:space="preserve"> APRIL 202</w:t>
            </w:r>
            <w:r w:rsidRPr="00C62F6E" w:rsidR="00E61C98">
              <w:rPr>
                <w:rFonts w:ascii="Times New Roman" w:hAnsi="Times New Roman" w:eastAsia="Microsoft JhengHei"/>
                <w:b/>
                <w:sz w:val="20"/>
              </w:rPr>
              <w:t>6</w:t>
            </w:r>
          </w:p>
        </w:tc>
        <w:tc>
          <w:tcPr>
            <w:tcW w:w="2842" w:type="dxa"/>
          </w:tcPr>
          <w:p w:rsidRPr="00C62F6E"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C62F6E" w:rsidR="00E330F5" w:rsidP="00645A48" w:rsidRDefault="00E330F5" w14:paraId="2BB6A786" w14:textId="77777777">
      <w:pPr>
        <w:pStyle w:val="NormalAshurst"/>
        <w:ind w:left="567"/>
        <w:jc w:val="center"/>
        <w:rPr>
          <w:rFonts w:ascii="Times New Roman" w:hAnsi="Times New Roman" w:cs="Times New Roman"/>
        </w:rPr>
      </w:pPr>
    </w:p>
    <w:p w:rsidRPr="00C62F6E" w:rsidR="00E330F5" w:rsidP="006A0136" w:rsidRDefault="0090499F" w14:paraId="194577C4" w14:textId="77777777">
      <w:pPr>
        <w:spacing w:after="220"/>
        <w:jc w:val="center"/>
        <w:rPr>
          <w:rFonts w:ascii="Times New Roman" w:hAnsi="Times New Roman"/>
          <w:b/>
          <w:sz w:val="20"/>
        </w:rPr>
      </w:pPr>
      <w:r w:rsidRPr="00C62F6E">
        <w:rPr>
          <w:rFonts w:ascii="Times New Roman" w:hAnsi="Times New Roman"/>
          <w:noProof/>
        </w:rPr>
        <w:drawing>
          <wp:inline distT="0" distB="0" distL="0" distR="0" wp14:anchorId="494EB6C7" wp14:editId="48ED8DB9">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C62F6E" w:rsidR="00E330F5" w:rsidP="006A0136" w:rsidRDefault="0090499F" w14:paraId="19105F41" w14:textId="77777777">
      <w:pPr>
        <w:pStyle w:val="StandardOCAshurst"/>
        <w:jc w:val="center"/>
        <w:rPr>
          <w:b/>
        </w:rPr>
      </w:pPr>
      <w:r w:rsidRPr="00C62F6E">
        <w:rPr>
          <w:b/>
        </w:rPr>
        <w:t>J.P. Morgan Structured Products B.V.</w:t>
      </w:r>
    </w:p>
    <w:p w:rsidRPr="00C62F6E" w:rsidR="00E330F5" w:rsidP="006A0136" w:rsidRDefault="0090499F" w14:paraId="2422EF8F" w14:textId="77777777">
      <w:pPr>
        <w:pStyle w:val="NormalOCAshurst"/>
        <w:jc w:val="center"/>
      </w:pPr>
      <w:r w:rsidRPr="00C62F6E">
        <w:t>(</w:t>
      </w:r>
      <w:r w:rsidRPr="00C62F6E">
        <w:rPr>
          <w:i/>
        </w:rPr>
        <w:t>incorporated with limited liability in The Netherlands</w:t>
      </w:r>
      <w:r w:rsidRPr="00C62F6E">
        <w:t>)</w:t>
      </w:r>
    </w:p>
    <w:p w:rsidRPr="00C62F6E" w:rsidR="00E330F5" w:rsidP="006A0136" w:rsidRDefault="0090499F" w14:paraId="6B4CFFD9" w14:textId="77777777">
      <w:pPr>
        <w:pStyle w:val="NormalOCAshurst"/>
        <w:jc w:val="center"/>
      </w:pPr>
      <w:r w:rsidRPr="00C62F6E">
        <w:t>as Issuer</w:t>
      </w:r>
    </w:p>
    <w:p w:rsidRPr="00C62F6E" w:rsidR="00E330F5" w:rsidP="006A0136" w:rsidRDefault="0090499F" w14:paraId="0400278D" w14:textId="77777777">
      <w:pPr>
        <w:pStyle w:val="StandardOCAshurst"/>
        <w:jc w:val="center"/>
        <w:rPr>
          <w:b/>
        </w:rPr>
      </w:pPr>
      <w:r w:rsidRPr="00C62F6E">
        <w:rPr>
          <w:b/>
        </w:rPr>
        <w:t>JPMorgan Chase Financial Company LLC</w:t>
      </w:r>
    </w:p>
    <w:p w:rsidRPr="00C62F6E" w:rsidR="00E330F5" w:rsidP="006A0136" w:rsidRDefault="0090499F" w14:paraId="14FA03E6" w14:textId="77777777">
      <w:pPr>
        <w:pStyle w:val="NormalOCAshurst"/>
        <w:jc w:val="center"/>
      </w:pPr>
      <w:r w:rsidRPr="00C62F6E">
        <w:t>(</w:t>
      </w:r>
      <w:r w:rsidRPr="00C62F6E">
        <w:rPr>
          <w:i/>
        </w:rPr>
        <w:t>incorporated with limited liability in the State of Delaware, United States of America</w:t>
      </w:r>
      <w:r w:rsidRPr="00C62F6E">
        <w:t>)</w:t>
      </w:r>
    </w:p>
    <w:p w:rsidRPr="00C62F6E" w:rsidR="00E330F5" w:rsidP="006A0136" w:rsidRDefault="0090499F" w14:paraId="56744075" w14:textId="77777777">
      <w:pPr>
        <w:pStyle w:val="NormalOCAshurst"/>
        <w:jc w:val="center"/>
      </w:pPr>
      <w:r w:rsidRPr="00C62F6E">
        <w:t>as Issuer</w:t>
      </w:r>
    </w:p>
    <w:p w:rsidRPr="00C62F6E" w:rsidR="00E330F5" w:rsidP="006A0136" w:rsidRDefault="00E330F5" w14:paraId="44D9A14B" w14:textId="77777777">
      <w:pPr>
        <w:pStyle w:val="NormalOCAshurst"/>
        <w:jc w:val="center"/>
      </w:pPr>
    </w:p>
    <w:p w:rsidRPr="00C62F6E" w:rsidR="00E330F5" w:rsidP="006A0136" w:rsidRDefault="0090499F" w14:paraId="6C0D9D73" w14:textId="77777777">
      <w:pPr>
        <w:pStyle w:val="StandardOCAshurst"/>
        <w:jc w:val="center"/>
        <w:rPr>
          <w:b/>
        </w:rPr>
      </w:pPr>
      <w:r w:rsidRPr="00C62F6E">
        <w:rPr>
          <w:b/>
        </w:rPr>
        <w:t>JPMorgan Chase Bank, N.A.</w:t>
      </w:r>
    </w:p>
    <w:p w:rsidRPr="00C62F6E" w:rsidR="00E330F5" w:rsidP="006A0136" w:rsidRDefault="0090499F" w14:paraId="615E317F" w14:textId="77777777">
      <w:pPr>
        <w:pStyle w:val="NormalOCAshurst"/>
        <w:jc w:val="center"/>
      </w:pPr>
      <w:r w:rsidRPr="00C62F6E">
        <w:t>(</w:t>
      </w:r>
      <w:r w:rsidRPr="00C62F6E">
        <w:rPr>
          <w:i/>
        </w:rPr>
        <w:t>a national banking association organised under the laws of the United States of America</w:t>
      </w:r>
      <w:r w:rsidRPr="00C62F6E">
        <w:t>)</w:t>
      </w:r>
    </w:p>
    <w:p w:rsidRPr="00C62F6E" w:rsidR="00E330F5" w:rsidP="006A0136" w:rsidRDefault="0090499F" w14:paraId="759DC48D" w14:textId="77777777">
      <w:pPr>
        <w:pStyle w:val="NormalOCAshurst"/>
        <w:spacing w:after="0"/>
        <w:jc w:val="center"/>
      </w:pPr>
      <w:r w:rsidRPr="00C62F6E">
        <w:t>as Issuer and as Guarantor in respect of Securities</w:t>
      </w:r>
    </w:p>
    <w:p w:rsidRPr="00C62F6E" w:rsidR="00E330F5" w:rsidP="006A0136" w:rsidRDefault="0090499F" w14:paraId="408A593F" w14:textId="77777777">
      <w:pPr>
        <w:pStyle w:val="NormalOCAshurst"/>
        <w:spacing w:after="0"/>
        <w:jc w:val="center"/>
      </w:pPr>
      <w:r w:rsidRPr="00C62F6E">
        <w:t>issued by</w:t>
      </w:r>
    </w:p>
    <w:p w:rsidRPr="00C62F6E" w:rsidR="00E330F5" w:rsidP="006A0136" w:rsidRDefault="0090499F" w14:paraId="168EA1D4" w14:textId="77777777">
      <w:pPr>
        <w:pStyle w:val="NormalOCAshurst"/>
        <w:jc w:val="center"/>
      </w:pPr>
      <w:r w:rsidRPr="00C62F6E">
        <w:t>J.P. Morgan Structured Products B.V.</w:t>
      </w:r>
    </w:p>
    <w:p w:rsidRPr="00C62F6E" w:rsidR="00E330F5" w:rsidP="006A0136" w:rsidRDefault="00E330F5" w14:paraId="78E2F09E" w14:textId="77777777">
      <w:pPr>
        <w:pStyle w:val="NormalOCAshurst"/>
        <w:jc w:val="center"/>
      </w:pPr>
    </w:p>
    <w:p w:rsidRPr="00C62F6E" w:rsidR="00E330F5" w:rsidP="006A0136" w:rsidRDefault="0090499F" w14:paraId="3535DCDA" w14:textId="77777777">
      <w:pPr>
        <w:pStyle w:val="StandardOCAshurst"/>
        <w:jc w:val="center"/>
        <w:rPr>
          <w:b/>
        </w:rPr>
      </w:pPr>
      <w:r w:rsidRPr="00C62F6E">
        <w:rPr>
          <w:b/>
        </w:rPr>
        <w:t>JPMorgan Chase &amp; Co.</w:t>
      </w:r>
    </w:p>
    <w:p w:rsidRPr="00C62F6E" w:rsidR="00E330F5" w:rsidP="006A0136" w:rsidRDefault="0090499F" w14:paraId="6E666FFC" w14:textId="77777777">
      <w:pPr>
        <w:pStyle w:val="NormalOCAshurst"/>
        <w:jc w:val="center"/>
      </w:pPr>
      <w:r w:rsidRPr="00C62F6E">
        <w:t>(</w:t>
      </w:r>
      <w:r w:rsidRPr="00C62F6E">
        <w:rPr>
          <w:i/>
        </w:rPr>
        <w:t>incorporated in the State of Delaware, United States of America</w:t>
      </w:r>
      <w:r w:rsidRPr="00C62F6E">
        <w:t>)</w:t>
      </w:r>
    </w:p>
    <w:p w:rsidRPr="00C62F6E" w:rsidR="00E330F5" w:rsidP="006A0136" w:rsidRDefault="0090499F" w14:paraId="6AE2F9C0" w14:textId="77777777">
      <w:pPr>
        <w:pStyle w:val="NormalOCAshurst"/>
        <w:spacing w:after="0"/>
        <w:jc w:val="center"/>
      </w:pPr>
      <w:r w:rsidRPr="00C62F6E">
        <w:t>as Issuer and as Guarantor in respect of Securities</w:t>
      </w:r>
    </w:p>
    <w:p w:rsidRPr="00C62F6E" w:rsidR="00E330F5" w:rsidP="006A0136" w:rsidRDefault="0090499F" w14:paraId="20942779" w14:textId="77777777">
      <w:pPr>
        <w:pStyle w:val="NormalOCAshurst"/>
        <w:spacing w:after="0"/>
        <w:jc w:val="center"/>
      </w:pPr>
      <w:r w:rsidRPr="00C62F6E">
        <w:t>issued by</w:t>
      </w:r>
    </w:p>
    <w:p w:rsidRPr="00C62F6E" w:rsidR="00E330F5" w:rsidP="006A0136" w:rsidRDefault="0090499F" w14:paraId="6EBB1602" w14:textId="77777777">
      <w:pPr>
        <w:pStyle w:val="NormalOCAshurst"/>
        <w:spacing w:after="0"/>
        <w:jc w:val="center"/>
      </w:pPr>
      <w:r w:rsidRPr="00C62F6E">
        <w:t>JPMorgan Chase Financial Company LLC</w:t>
      </w:r>
    </w:p>
    <w:p w:rsidRPr="00C62F6E" w:rsidR="00E330F5" w:rsidP="006A0136" w:rsidRDefault="00E330F5" w14:paraId="1A484EC1" w14:textId="77777777">
      <w:pPr>
        <w:pStyle w:val="NormalOCAshurst"/>
        <w:jc w:val="center"/>
      </w:pPr>
    </w:p>
    <w:p w:rsidRPr="00C62F6E" w:rsidR="00E330F5" w:rsidP="006A0136" w:rsidRDefault="0090499F" w14:paraId="6301F7AF" w14:textId="77777777">
      <w:pPr>
        <w:pStyle w:val="NormalOCAshurst"/>
        <w:jc w:val="center"/>
        <w:rPr>
          <w:b/>
        </w:rPr>
      </w:pPr>
      <w:r w:rsidRPr="00C62F6E">
        <w:rPr>
          <w:b/>
        </w:rPr>
        <w:t>Structured Products Programme for the issuance</w:t>
      </w:r>
    </w:p>
    <w:p w:rsidRPr="00C62F6E" w:rsidR="00E330F5" w:rsidP="006A0136" w:rsidRDefault="0090499F" w14:paraId="5D87EFE8" w14:textId="77777777">
      <w:pPr>
        <w:pStyle w:val="NormalOCAshurst"/>
        <w:jc w:val="center"/>
        <w:rPr>
          <w:b/>
        </w:rPr>
      </w:pPr>
      <w:r w:rsidRPr="00C62F6E">
        <w:rPr>
          <w:b/>
        </w:rPr>
        <w:t>of</w:t>
      </w:r>
    </w:p>
    <w:p w:rsidRPr="00C62F6E" w:rsidR="00E330F5" w:rsidP="006A0136" w:rsidRDefault="0090499F" w14:paraId="430B705F" w14:textId="77777777">
      <w:pPr>
        <w:pStyle w:val="NormalOCAshurst"/>
        <w:jc w:val="center"/>
        <w:rPr>
          <w:b/>
        </w:rPr>
      </w:pPr>
      <w:r w:rsidRPr="00C62F6E">
        <w:rPr>
          <w:b/>
        </w:rPr>
        <w:t>Notes, Warrants and Certificates</w:t>
      </w:r>
    </w:p>
    <w:p w:rsidRPr="00C62F6E" w:rsidR="00E330F5" w:rsidP="006A0136" w:rsidRDefault="00E330F5" w14:paraId="28E2C53B" w14:textId="77777777">
      <w:pPr>
        <w:pStyle w:val="NormalOCAshurst"/>
        <w:jc w:val="center"/>
      </w:pPr>
    </w:p>
    <w:p w:rsidRPr="00C62F6E" w:rsidR="00E330F5" w:rsidP="006A0136" w:rsidRDefault="0090499F" w14:paraId="1EB51E4F" w14:textId="77777777">
      <w:pPr>
        <w:pStyle w:val="NormalOCAshurst"/>
        <w:jc w:val="center"/>
        <w:rPr>
          <w:b/>
          <w:i/>
        </w:rPr>
      </w:pPr>
      <w:r w:rsidRPr="00C62F6E">
        <w:rPr>
          <w:b/>
          <w:i/>
        </w:rPr>
        <w:t>Arranger and Dealer for the Programme</w:t>
      </w:r>
    </w:p>
    <w:p w:rsidRPr="00C62F6E" w:rsidR="00E330F5" w:rsidP="006A0136" w:rsidRDefault="0090499F" w14:paraId="2558872E" w14:textId="77777777">
      <w:pPr>
        <w:pStyle w:val="NormalOCAshurst"/>
        <w:jc w:val="center"/>
        <w:rPr>
          <w:b/>
        </w:rPr>
      </w:pPr>
      <w:r w:rsidRPr="00C62F6E">
        <w:rPr>
          <w:b/>
        </w:rPr>
        <w:t>J.P. Morgan</w:t>
      </w:r>
    </w:p>
    <w:p w:rsidRPr="00C62F6E" w:rsidR="00E330F5" w:rsidP="006A0136" w:rsidRDefault="00E330F5" w14:paraId="5046B851" w14:textId="77777777">
      <w:pPr>
        <w:pStyle w:val="NormalOCAshurst"/>
        <w:jc w:val="center"/>
        <w:rPr>
          <w:b/>
        </w:rPr>
      </w:pPr>
    </w:p>
    <w:p w:rsidRPr="00C62F6E" w:rsidR="00E330F5" w:rsidP="006A0136" w:rsidRDefault="00E330F5" w14:paraId="4419D5A4" w14:textId="77777777">
      <w:pPr>
        <w:pStyle w:val="NormalOCAshurst"/>
        <w:jc w:val="center"/>
        <w:rPr>
          <w:b/>
        </w:rPr>
      </w:pPr>
    </w:p>
    <w:p w:rsidRPr="00C62F6E" w:rsidR="00E330F5" w:rsidP="006A0136" w:rsidRDefault="00E330F5" w14:paraId="2E25C2BB" w14:textId="77777777">
      <w:pPr>
        <w:pStyle w:val="NormalOCAshurst"/>
        <w:jc w:val="center"/>
        <w:rPr>
          <w:b/>
        </w:rPr>
      </w:pPr>
    </w:p>
    <w:p w:rsidRPr="00C62F6E" w:rsidR="00E330F5" w:rsidP="006A0136" w:rsidRDefault="00E330F5" w14:paraId="79AC44B7" w14:textId="77777777">
      <w:pPr>
        <w:pStyle w:val="NormalOCAshurst"/>
        <w:rPr>
          <w:b/>
        </w:rPr>
      </w:pPr>
    </w:p>
    <w:p w:rsidRPr="00C62F6E"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C62F6E"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C62F6E" w:rsidR="00E330F5" w:rsidP="006A0136" w:rsidRDefault="0090499F" w14:paraId="69DDFC22" w14:textId="77777777">
      <w:pPr>
        <w:pStyle w:val="NormalOCAshurst"/>
        <w:jc w:val="left"/>
        <w:rPr>
          <w:b/>
        </w:rPr>
      </w:pPr>
      <w:r w:rsidRPr="00C62F6E">
        <w:rPr>
          <w:b/>
        </w:rPr>
        <w:lastRenderedPageBreak/>
        <w:t>Supplement to the Offering Circular</w:t>
      </w:r>
    </w:p>
    <w:p w:rsidRPr="00C62F6E" w:rsidR="00E330F5" w:rsidP="00793F3B" w:rsidRDefault="0090499F" w14:paraId="041E835D" w14:textId="137C227B">
      <w:pPr>
        <w:pStyle w:val="NormalAshurst"/>
        <w:tabs>
          <w:tab w:val="left" w:pos="5670"/>
        </w:tabs>
        <w:rPr>
          <w:rFonts w:ascii="Times New Roman" w:hAnsi="Times New Roman" w:cs="Times New Roman"/>
          <w:sz w:val="20"/>
        </w:rPr>
      </w:pPr>
      <w:r w:rsidRPr="00C62F6E">
        <w:rPr>
          <w:rFonts w:ascii="Times New Roman" w:hAnsi="Times New Roman" w:cs="Times New Roman"/>
          <w:sz w:val="20"/>
        </w:rPr>
        <w:t>This supplement (the "</w:t>
      </w:r>
      <w:r w:rsidRPr="00C62F6E">
        <w:rPr>
          <w:rFonts w:ascii="Times New Roman" w:hAnsi="Times New Roman" w:cs="Times New Roman"/>
          <w:b/>
          <w:sz w:val="20"/>
        </w:rPr>
        <w:t>Supplement</w:t>
      </w:r>
      <w:r w:rsidRPr="00C62F6E">
        <w:rPr>
          <w:rFonts w:ascii="Times New Roman" w:hAnsi="Times New Roman" w:cs="Times New Roman"/>
          <w:sz w:val="20"/>
        </w:rPr>
        <w:t xml:space="preserve">") constitutes a supplement to the offering circular dated </w:t>
      </w:r>
      <w:r w:rsidRPr="00C62F6E" w:rsidR="00692D0A">
        <w:rPr>
          <w:rFonts w:ascii="Times New Roman" w:hAnsi="Times New Roman" w:cs="Times New Roman"/>
          <w:sz w:val="20"/>
        </w:rPr>
        <w:t>1</w:t>
      </w:r>
      <w:r w:rsidRPr="00C62F6E" w:rsidR="00E61C98">
        <w:rPr>
          <w:rFonts w:ascii="Times New Roman" w:hAnsi="Times New Roman" w:cs="Times New Roman"/>
          <w:sz w:val="20"/>
        </w:rPr>
        <w:t>6</w:t>
      </w:r>
      <w:r w:rsidRPr="00C62F6E" w:rsidR="00692D0A">
        <w:rPr>
          <w:rFonts w:ascii="Times New Roman" w:hAnsi="Times New Roman" w:cs="Times New Roman"/>
          <w:sz w:val="20"/>
        </w:rPr>
        <w:t xml:space="preserve"> April 202</w:t>
      </w:r>
      <w:r w:rsidRPr="00C62F6E" w:rsidR="00E61C98">
        <w:rPr>
          <w:rFonts w:ascii="Times New Roman" w:hAnsi="Times New Roman" w:cs="Times New Roman"/>
          <w:sz w:val="20"/>
        </w:rPr>
        <w:t>6</w:t>
      </w:r>
      <w:r w:rsidRPr="00C62F6E" w:rsidR="00F13F6A">
        <w:rPr>
          <w:rFonts w:ascii="Times New Roman" w:hAnsi="Times New Roman" w:cs="Times New Roman"/>
          <w:sz w:val="20"/>
        </w:rPr>
        <w:t xml:space="preserve"> </w:t>
      </w:r>
      <w:r w:rsidRPr="00C62F6E" w:rsidR="00183207">
        <w:rPr>
          <w:rFonts w:ascii="Times New Roman" w:hAnsi="Times New Roman" w:cs="Times New Roman"/>
          <w:sz w:val="20"/>
          <w:szCs w:val="20"/>
        </w:rPr>
        <w:t>(the "</w:t>
      </w:r>
      <w:r w:rsidRPr="00C62F6E" w:rsidR="00793F3B">
        <w:rPr>
          <w:rFonts w:ascii="Times New Roman" w:hAnsi="Times New Roman" w:cs="Times New Roman"/>
          <w:b/>
          <w:bCs/>
          <w:sz w:val="20"/>
          <w:szCs w:val="20"/>
        </w:rPr>
        <w:t>Original</w:t>
      </w:r>
      <w:r w:rsidRPr="00C62F6E" w:rsidR="00793F3B">
        <w:rPr>
          <w:rFonts w:ascii="Times New Roman" w:hAnsi="Times New Roman" w:cs="Times New Roman"/>
          <w:sz w:val="20"/>
          <w:szCs w:val="20"/>
        </w:rPr>
        <w:t xml:space="preserve"> </w:t>
      </w:r>
      <w:r w:rsidRPr="00C62F6E" w:rsidR="00183207">
        <w:rPr>
          <w:rFonts w:ascii="Times New Roman" w:hAnsi="Times New Roman" w:cs="Times New Roman"/>
          <w:b/>
          <w:sz w:val="20"/>
          <w:szCs w:val="20"/>
        </w:rPr>
        <w:t>Offering Circular</w:t>
      </w:r>
      <w:r w:rsidRPr="00C62F6E" w:rsidR="00183207">
        <w:rPr>
          <w:rFonts w:ascii="Times New Roman" w:hAnsi="Times New Roman" w:cs="Times New Roman"/>
          <w:sz w:val="20"/>
          <w:szCs w:val="20"/>
        </w:rPr>
        <w:t>")</w:t>
      </w:r>
      <w:r w:rsidRPr="00C62F6E" w:rsidR="00793F3B">
        <w:rPr>
          <w:rFonts w:ascii="Times New Roman" w:hAnsi="Times New Roman" w:eastAsia="Times New Roman" w:cs="Times New Roman"/>
          <w:sz w:val="20"/>
          <w:szCs w:val="20"/>
          <w:lang w:eastAsia="en-GB"/>
        </w:rPr>
        <w:t xml:space="preserve"> </w:t>
      </w:r>
      <w:r w:rsidRPr="00C62F6E" w:rsidR="00793F3B">
        <w:rPr>
          <w:rFonts w:ascii="Times New Roman" w:hAnsi="Times New Roman" w:cs="Times New Roman"/>
          <w:sz w:val="20"/>
          <w:szCs w:val="20"/>
        </w:rPr>
        <w:t>as supplemented by Supplement No. 1 dated 30 April 2026</w:t>
      </w:r>
      <w:r w:rsidR="00D94C8B">
        <w:rPr>
          <w:rFonts w:ascii="Times New Roman" w:hAnsi="Times New Roman" w:cs="Times New Roman"/>
          <w:sz w:val="20"/>
          <w:szCs w:val="20"/>
        </w:rPr>
        <w:t xml:space="preserve">, </w:t>
      </w:r>
      <w:r w:rsidRPr="00C62F6E" w:rsidR="00860F11">
        <w:rPr>
          <w:rFonts w:ascii="Times New Roman" w:hAnsi="Times New Roman" w:cs="Times New Roman"/>
          <w:sz w:val="20"/>
          <w:szCs w:val="20"/>
        </w:rPr>
        <w:t xml:space="preserve">Supplement No. 2 dated 21 May 2026 </w:t>
      </w:r>
      <w:r w:rsidRPr="00C62F6E" w:rsidR="00D94C8B">
        <w:rPr>
          <w:rFonts w:ascii="Times New Roman" w:hAnsi="Times New Roman" w:cs="Times New Roman"/>
          <w:sz w:val="20"/>
          <w:szCs w:val="20"/>
        </w:rPr>
        <w:t xml:space="preserve">and Supplement No. </w:t>
      </w:r>
      <w:r w:rsidR="00D94C8B">
        <w:rPr>
          <w:rFonts w:ascii="Times New Roman" w:hAnsi="Times New Roman" w:cs="Times New Roman"/>
          <w:sz w:val="20"/>
          <w:szCs w:val="20"/>
        </w:rPr>
        <w:t>3</w:t>
      </w:r>
      <w:r w:rsidRPr="00C62F6E" w:rsidR="00D94C8B">
        <w:rPr>
          <w:rFonts w:ascii="Times New Roman" w:hAnsi="Times New Roman" w:cs="Times New Roman"/>
          <w:sz w:val="20"/>
          <w:szCs w:val="20"/>
        </w:rPr>
        <w:t xml:space="preserve"> dated </w:t>
      </w:r>
      <w:r w:rsidR="00D94C8B">
        <w:rPr>
          <w:rFonts w:ascii="Times New Roman" w:hAnsi="Times New Roman" w:cs="Times New Roman"/>
          <w:sz w:val="20"/>
          <w:szCs w:val="20"/>
        </w:rPr>
        <w:t>2 July</w:t>
      </w:r>
      <w:r w:rsidRPr="00C62F6E" w:rsidR="00D94C8B">
        <w:rPr>
          <w:rFonts w:ascii="Times New Roman" w:hAnsi="Times New Roman" w:cs="Times New Roman"/>
          <w:sz w:val="20"/>
          <w:szCs w:val="20"/>
        </w:rPr>
        <w:t xml:space="preserve"> 2026</w:t>
      </w:r>
      <w:r w:rsidRPr="00C62F6E" w:rsidR="00793F3B">
        <w:rPr>
          <w:rFonts w:ascii="Times New Roman" w:hAnsi="Times New Roman" w:cs="Times New Roman"/>
          <w:sz w:val="20"/>
          <w:szCs w:val="20"/>
        </w:rPr>
        <w:t xml:space="preserve"> (the Original Offering Circular as so supplemented, the "</w:t>
      </w:r>
      <w:r w:rsidRPr="00C62F6E" w:rsidR="00793F3B">
        <w:rPr>
          <w:rFonts w:ascii="Times New Roman" w:hAnsi="Times New Roman" w:cs="Times New Roman"/>
          <w:b/>
          <w:bCs/>
          <w:sz w:val="20"/>
          <w:szCs w:val="20"/>
        </w:rPr>
        <w:t>Offering Circular</w:t>
      </w:r>
      <w:r w:rsidRPr="00C62F6E" w:rsidR="00793F3B">
        <w:rPr>
          <w:rFonts w:ascii="Times New Roman" w:hAnsi="Times New Roman" w:cs="Times New Roman"/>
          <w:sz w:val="20"/>
          <w:szCs w:val="20"/>
        </w:rPr>
        <w:t>")</w:t>
      </w:r>
      <w:r w:rsidRPr="00C62F6E" w:rsidR="00183207">
        <w:rPr>
          <w:rFonts w:ascii="Times New Roman" w:hAnsi="Times New Roman" w:cs="Times New Roman"/>
          <w:sz w:val="20"/>
          <w:szCs w:val="20"/>
        </w:rPr>
        <w:t xml:space="preserve">, </w:t>
      </w:r>
      <w:r w:rsidRPr="00C62F6E">
        <w:rPr>
          <w:rFonts w:ascii="Times New Roman" w:hAnsi="Times New Roman" w:cs="Times New Roman"/>
          <w:sz w:val="20"/>
        </w:rPr>
        <w:t>prepared in connection with the Note, Warrant and Certificate Programme (the "</w:t>
      </w:r>
      <w:r w:rsidRPr="00C62F6E">
        <w:rPr>
          <w:rFonts w:ascii="Times New Roman" w:hAnsi="Times New Roman" w:cs="Times New Roman"/>
          <w:b/>
          <w:sz w:val="20"/>
        </w:rPr>
        <w:t>Programme</w:t>
      </w:r>
      <w:r w:rsidRPr="00C62F6E">
        <w:rPr>
          <w:rFonts w:ascii="Times New Roman" w:hAnsi="Times New Roman" w:cs="Times New Roman"/>
          <w:sz w:val="20"/>
        </w:rPr>
        <w:t>") of J.P. Morgan Structured Products B.V. ("</w:t>
      </w:r>
      <w:r w:rsidRPr="00C62F6E">
        <w:rPr>
          <w:rFonts w:ascii="Times New Roman" w:hAnsi="Times New Roman" w:cs="Times New Roman"/>
          <w:b/>
          <w:sz w:val="20"/>
        </w:rPr>
        <w:t>JPMSP</w:t>
      </w:r>
      <w:r w:rsidRPr="00C62F6E">
        <w:rPr>
          <w:rFonts w:ascii="Times New Roman" w:hAnsi="Times New Roman" w:cs="Times New Roman"/>
          <w:sz w:val="20"/>
        </w:rPr>
        <w:t>"), JPMorgan Chase Financial Company LLC ("</w:t>
      </w:r>
      <w:r w:rsidRPr="00C62F6E">
        <w:rPr>
          <w:rFonts w:ascii="Times New Roman" w:hAnsi="Times New Roman" w:cs="Times New Roman"/>
          <w:b/>
          <w:sz w:val="20"/>
        </w:rPr>
        <w:t>JPMCFC</w:t>
      </w:r>
      <w:r w:rsidRPr="00C62F6E">
        <w:rPr>
          <w:rFonts w:ascii="Times New Roman" w:hAnsi="Times New Roman" w:cs="Times New Roman"/>
          <w:sz w:val="20"/>
        </w:rPr>
        <w:t>"), JPMorgan Chase Bank, N.A. and JPMorgan Chase &amp; Co.</w:t>
      </w:r>
    </w:p>
    <w:p w:rsidRPr="00C62F6E" w:rsidR="00E330F5" w:rsidP="006A0136" w:rsidRDefault="0090499F" w14:paraId="21A2468D" w14:textId="77777777">
      <w:pPr>
        <w:pStyle w:val="NormalOCAshurst"/>
        <w:jc w:val="left"/>
        <w:rPr>
          <w:b/>
        </w:rPr>
      </w:pPr>
      <w:r w:rsidRPr="00C62F6E">
        <w:rPr>
          <w:b/>
        </w:rPr>
        <w:t>Status of Supplement</w:t>
      </w:r>
    </w:p>
    <w:p w:rsidRPr="00C62F6E" w:rsidR="00F13F6A" w:rsidP="00F13F6A" w:rsidRDefault="0090499F" w14:paraId="697958CD" w14:textId="77777777">
      <w:pPr>
        <w:pStyle w:val="NormalAshurst"/>
        <w:rPr>
          <w:rFonts w:ascii="Times New Roman" w:hAnsi="Times New Roman" w:cs="Times New Roman"/>
          <w:sz w:val="20"/>
        </w:rPr>
      </w:pPr>
      <w:r w:rsidRPr="00C62F6E">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C62F6E" w:rsidR="00F13F6A" w:rsidP="00F13F6A" w:rsidRDefault="0090499F" w14:paraId="6F50988C" w14:textId="77777777">
      <w:pPr>
        <w:pStyle w:val="NormalAshurst"/>
        <w:rPr>
          <w:rFonts w:ascii="Times New Roman" w:hAnsi="Times New Roman" w:cs="Times New Roman"/>
          <w:sz w:val="20"/>
        </w:rPr>
      </w:pPr>
      <w:r w:rsidRPr="00C62F6E">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C62F6E" w:rsidR="00E330F5" w:rsidP="000D792E" w:rsidRDefault="0090499F" w14:paraId="01F9182B" w14:textId="6B9D6238">
      <w:pPr>
        <w:pStyle w:val="NormalAshurst"/>
        <w:rPr>
          <w:rFonts w:ascii="Times New Roman" w:hAnsi="Times New Roman" w:cs="Times New Roman"/>
          <w:sz w:val="20"/>
        </w:rPr>
      </w:pPr>
      <w:r w:rsidRPr="00C62F6E">
        <w:rPr>
          <w:rFonts w:ascii="Times New Roman" w:hAnsi="Times New Roman" w:cs="Times New Roman"/>
          <w:sz w:val="20"/>
        </w:rPr>
        <w:t>The Supplement has been filed with SIX Exchange Regulation Ltd as the competent reviewing body (the "</w:t>
      </w:r>
      <w:r w:rsidRPr="00C62F6E">
        <w:rPr>
          <w:rFonts w:ascii="Times New Roman" w:hAnsi="Times New Roman" w:cs="Times New Roman"/>
          <w:b/>
          <w:bCs/>
          <w:sz w:val="20"/>
        </w:rPr>
        <w:t>Reviewing Body</w:t>
      </w:r>
      <w:r w:rsidRPr="00C62F6E">
        <w:rPr>
          <w:rFonts w:ascii="Times New Roman" w:hAnsi="Times New Roman" w:cs="Times New Roman"/>
          <w:sz w:val="20"/>
        </w:rPr>
        <w:t>") under the Swiss Financial Services Act ("</w:t>
      </w:r>
      <w:r w:rsidRPr="00C62F6E">
        <w:rPr>
          <w:rFonts w:ascii="Times New Roman" w:hAnsi="Times New Roman" w:cs="Times New Roman"/>
          <w:b/>
          <w:bCs/>
          <w:sz w:val="20"/>
        </w:rPr>
        <w:t>FinSA</w:t>
      </w:r>
      <w:r w:rsidRPr="00C62F6E">
        <w:rPr>
          <w:rFonts w:ascii="Times New Roman" w:hAnsi="Times New Roman" w:cs="Times New Roman"/>
          <w:sz w:val="20"/>
        </w:rPr>
        <w:t>") on</w:t>
      </w:r>
      <w:r w:rsidRPr="00C62F6E" w:rsidR="00DC086F">
        <w:rPr>
          <w:rFonts w:ascii="Times New Roman" w:hAnsi="Times New Roman" w:cs="Times New Roman"/>
          <w:sz w:val="20"/>
        </w:rPr>
        <w:t xml:space="preserve"> </w:t>
      </w:r>
      <w:r w:rsidR="00B73B5E">
        <w:rPr>
          <w:rFonts w:ascii="Times New Roman" w:hAnsi="Times New Roman" w:cs="Times New Roman"/>
          <w:sz w:val="20"/>
        </w:rPr>
        <w:t xml:space="preserve">30 </w:t>
      </w:r>
      <w:r w:rsidRPr="00C62F6E" w:rsidR="00DC086F">
        <w:rPr>
          <w:rFonts w:ascii="Times New Roman" w:hAnsi="Times New Roman" w:cs="Times New Roman"/>
          <w:sz w:val="20"/>
        </w:rPr>
        <w:t>July</w:t>
      </w:r>
      <w:r w:rsidRPr="00C62F6E" w:rsidR="004565DA">
        <w:rPr>
          <w:rFonts w:ascii="Times New Roman" w:hAnsi="Times New Roman" w:cs="Times New Roman"/>
          <w:sz w:val="20"/>
        </w:rPr>
        <w:t xml:space="preserve"> </w:t>
      </w:r>
      <w:r w:rsidRPr="00C62F6E" w:rsidR="00692D0A">
        <w:rPr>
          <w:rFonts w:ascii="Times New Roman" w:hAnsi="Times New Roman" w:cs="Times New Roman"/>
          <w:bCs/>
          <w:sz w:val="20"/>
        </w:rPr>
        <w:t>202</w:t>
      </w:r>
      <w:r w:rsidRPr="00C62F6E" w:rsidR="00C9548C">
        <w:rPr>
          <w:rFonts w:ascii="Times New Roman" w:hAnsi="Times New Roman" w:cs="Times New Roman"/>
          <w:bCs/>
          <w:sz w:val="20"/>
        </w:rPr>
        <w:t>6</w:t>
      </w:r>
      <w:r w:rsidRPr="00C62F6E">
        <w:rPr>
          <w:rFonts w:ascii="Times New Roman" w:hAnsi="Times New Roman" w:cs="Times New Roman"/>
          <w:bCs/>
          <w:sz w:val="20"/>
        </w:rPr>
        <w:t>.</w:t>
      </w:r>
    </w:p>
    <w:p w:rsidRPr="00C62F6E" w:rsidR="00E330F5" w:rsidP="006A0136" w:rsidRDefault="0090499F" w14:paraId="4C20CCE9" w14:textId="77777777">
      <w:pPr>
        <w:pStyle w:val="NormalOCAshurst"/>
        <w:jc w:val="left"/>
        <w:rPr>
          <w:b/>
        </w:rPr>
      </w:pPr>
      <w:r w:rsidRPr="00C62F6E">
        <w:rPr>
          <w:b/>
        </w:rPr>
        <w:t>Responsibility</w:t>
      </w:r>
    </w:p>
    <w:p w:rsidRPr="00C62F6E" w:rsidR="00F13F6A" w:rsidP="00F13F6A" w:rsidRDefault="0090499F" w14:paraId="2161F5B1" w14:textId="77777777">
      <w:pPr>
        <w:pStyle w:val="NormalAshurst"/>
        <w:rPr>
          <w:rFonts w:ascii="Times New Roman" w:hAnsi="Times New Roman" w:cs="Times New Roman"/>
          <w:sz w:val="20"/>
        </w:rPr>
      </w:pPr>
      <w:r w:rsidRPr="00C62F6E">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C62F6E" w:rsidR="00E330F5" w:rsidP="006A0136" w:rsidRDefault="0090499F" w14:paraId="461B591F" w14:textId="77777777">
      <w:pPr>
        <w:pStyle w:val="NormalAshurst"/>
        <w:rPr>
          <w:rFonts w:ascii="Times New Roman" w:hAnsi="Times New Roman" w:cs="Times New Roman"/>
          <w:b/>
          <w:sz w:val="20"/>
        </w:rPr>
      </w:pPr>
      <w:r w:rsidRPr="00C62F6E">
        <w:rPr>
          <w:rFonts w:ascii="Times New Roman" w:hAnsi="Times New Roman" w:cs="Times New Roman"/>
          <w:b/>
          <w:sz w:val="20"/>
        </w:rPr>
        <w:t>Purpose of Supplement</w:t>
      </w:r>
    </w:p>
    <w:p w:rsidRPr="00C62F6E" w:rsidR="004565DA" w:rsidP="004565DA" w:rsidRDefault="004565DA" w14:paraId="3DEA70AF" w14:textId="5EDEE187">
      <w:pPr>
        <w:pStyle w:val="NormalAshurst"/>
        <w:rPr>
          <w:rFonts w:ascii="Times New Roman" w:hAnsi="Times New Roman" w:cs="Times New Roman"/>
          <w:sz w:val="20"/>
          <w:szCs w:val="20"/>
        </w:rPr>
      </w:pPr>
      <w:r w:rsidRPr="00C62F6E">
        <w:rPr>
          <w:rFonts w:ascii="Times New Roman" w:hAnsi="Times New Roman" w:cs="Times New Roman"/>
          <w:sz w:val="20"/>
          <w:szCs w:val="20"/>
        </w:rPr>
        <w:t xml:space="preserve">The purpose of this Supplement is </w:t>
      </w:r>
      <w:r w:rsidR="00CF3511">
        <w:rPr>
          <w:rFonts w:ascii="Times New Roman" w:hAnsi="Times New Roman" w:cs="Times New Roman"/>
          <w:sz w:val="20"/>
          <w:szCs w:val="20"/>
        </w:rPr>
        <w:t xml:space="preserve">to </w:t>
      </w:r>
      <w:r w:rsidRPr="00D94C8B" w:rsidR="00D94C8B">
        <w:rPr>
          <w:rFonts w:ascii="Times New Roman" w:hAnsi="Times New Roman" w:cs="Times New Roman"/>
          <w:sz w:val="20"/>
          <w:szCs w:val="20"/>
        </w:rPr>
        <w:t xml:space="preserve">(i) incorporate by reference into the Offering Circular the JPMorgan Chase &amp; Co. </w:t>
      </w:r>
      <w:r w:rsidR="000640D4">
        <w:rPr>
          <w:rFonts w:ascii="Times New Roman" w:hAnsi="Times New Roman" w:cs="Times New Roman"/>
          <w:sz w:val="20"/>
          <w:szCs w:val="20"/>
        </w:rPr>
        <w:t>14</w:t>
      </w:r>
      <w:r w:rsidRPr="00D94C8B" w:rsidR="00D94C8B">
        <w:rPr>
          <w:rFonts w:ascii="Times New Roman" w:hAnsi="Times New Roman" w:cs="Times New Roman"/>
          <w:sz w:val="20"/>
          <w:szCs w:val="20"/>
        </w:rPr>
        <w:t xml:space="preserve"> July 202</w:t>
      </w:r>
      <w:r w:rsidR="00DF4B3A">
        <w:rPr>
          <w:rFonts w:ascii="Times New Roman" w:hAnsi="Times New Roman" w:cs="Times New Roman"/>
          <w:sz w:val="20"/>
          <w:szCs w:val="20"/>
        </w:rPr>
        <w:t>6</w:t>
      </w:r>
      <w:r w:rsidRPr="00D94C8B" w:rsidR="00D94C8B">
        <w:rPr>
          <w:rFonts w:ascii="Times New Roman" w:hAnsi="Times New Roman" w:cs="Times New Roman"/>
          <w:sz w:val="20"/>
          <w:szCs w:val="20"/>
        </w:rPr>
        <w:t xml:space="preserve"> Form 8-K (as defined below) and (ii)</w:t>
      </w:r>
      <w:r w:rsidRPr="00C62F6E">
        <w:rPr>
          <w:rFonts w:ascii="Times New Roman" w:hAnsi="Times New Roman" w:cs="Times New Roman"/>
          <w:sz w:val="20"/>
          <w:szCs w:val="20"/>
        </w:rPr>
        <w:t xml:space="preserve"> </w:t>
      </w:r>
      <w:r w:rsidRPr="00C62F6E" w:rsidR="00FD21AD">
        <w:rPr>
          <w:rFonts w:ascii="Times New Roman" w:hAnsi="Times New Roman" w:cs="Times New Roman"/>
          <w:sz w:val="20"/>
          <w:szCs w:val="20"/>
        </w:rPr>
        <w:t xml:space="preserve">amend and supplement the </w:t>
      </w:r>
      <w:r w:rsidR="00C84F3C">
        <w:rPr>
          <w:rFonts w:ascii="Times New Roman" w:hAnsi="Times New Roman" w:cs="Times New Roman"/>
          <w:sz w:val="20"/>
          <w:szCs w:val="20"/>
        </w:rPr>
        <w:t>information in the</w:t>
      </w:r>
      <w:r w:rsidRPr="00C62F6E" w:rsidR="00FD21AD">
        <w:rPr>
          <w:rFonts w:ascii="Times New Roman" w:hAnsi="Times New Roman" w:cs="Times New Roman"/>
          <w:sz w:val="20"/>
          <w:szCs w:val="20"/>
        </w:rPr>
        <w:t xml:space="preserve"> section</w:t>
      </w:r>
      <w:r w:rsidR="009C5DDE">
        <w:rPr>
          <w:rFonts w:ascii="Times New Roman" w:hAnsi="Times New Roman" w:cs="Times New Roman"/>
          <w:sz w:val="20"/>
          <w:szCs w:val="20"/>
        </w:rPr>
        <w:t>s</w:t>
      </w:r>
      <w:r w:rsidRPr="00C62F6E" w:rsidR="00FD21AD">
        <w:rPr>
          <w:rFonts w:ascii="Times New Roman" w:hAnsi="Times New Roman" w:cs="Times New Roman"/>
          <w:sz w:val="20"/>
          <w:szCs w:val="20"/>
        </w:rPr>
        <w:t xml:space="preserve"> entitled "</w:t>
      </w:r>
      <w:r w:rsidR="00D94C8B">
        <w:rPr>
          <w:rFonts w:ascii="Times New Roman" w:hAnsi="Times New Roman" w:cs="Times New Roman"/>
          <w:sz w:val="20"/>
          <w:szCs w:val="20"/>
        </w:rPr>
        <w:t>General Conditions</w:t>
      </w:r>
      <w:r w:rsidRPr="00C62F6E" w:rsidR="00FD21AD">
        <w:rPr>
          <w:rFonts w:ascii="Times New Roman" w:hAnsi="Times New Roman" w:cs="Times New Roman"/>
          <w:sz w:val="20"/>
          <w:szCs w:val="20"/>
        </w:rPr>
        <w:t>"</w:t>
      </w:r>
      <w:r w:rsidR="00D94C8B">
        <w:rPr>
          <w:rFonts w:ascii="Times New Roman" w:hAnsi="Times New Roman" w:cs="Times New Roman"/>
          <w:sz w:val="20"/>
          <w:szCs w:val="20"/>
        </w:rPr>
        <w:t xml:space="preserve"> </w:t>
      </w:r>
      <w:r w:rsidR="009C5DDE">
        <w:rPr>
          <w:rFonts w:ascii="Times New Roman" w:hAnsi="Times New Roman" w:cs="Times New Roman"/>
          <w:sz w:val="20"/>
          <w:szCs w:val="20"/>
        </w:rPr>
        <w:t>and "</w:t>
      </w:r>
      <w:r w:rsidRPr="009C5DDE" w:rsidR="009C5DDE">
        <w:rPr>
          <w:rFonts w:ascii="Times New Roman" w:hAnsi="Times New Roman" w:cs="Times New Roman"/>
          <w:sz w:val="20"/>
          <w:szCs w:val="20"/>
        </w:rPr>
        <w:t>Subscription and Sale</w:t>
      </w:r>
      <w:r w:rsidR="009C5DDE">
        <w:rPr>
          <w:rFonts w:ascii="Times New Roman" w:hAnsi="Times New Roman" w:cs="Times New Roman"/>
          <w:sz w:val="20"/>
          <w:szCs w:val="20"/>
        </w:rPr>
        <w:t xml:space="preserve">" </w:t>
      </w:r>
      <w:r w:rsidRPr="00C62F6E" w:rsidR="007C649E">
        <w:rPr>
          <w:rFonts w:ascii="Times New Roman" w:hAnsi="Times New Roman" w:cs="Times New Roman"/>
          <w:sz w:val="20"/>
          <w:szCs w:val="20"/>
        </w:rPr>
        <w:t>in the Offering Circular</w:t>
      </w:r>
      <w:r w:rsidRPr="00C62F6E">
        <w:rPr>
          <w:rFonts w:ascii="Times New Roman" w:hAnsi="Times New Roman" w:cs="Times New Roman"/>
          <w:sz w:val="20"/>
          <w:szCs w:val="20"/>
        </w:rPr>
        <w:t>.</w:t>
      </w:r>
    </w:p>
    <w:p w:rsidRPr="00C62F6E" w:rsidR="009B756E" w:rsidP="001D411D" w:rsidRDefault="009B756E" w14:paraId="2E7923D7" w14:textId="77777777">
      <w:pPr>
        <w:pStyle w:val="NormalAshurst"/>
        <w:rPr>
          <w:rFonts w:ascii="Times New Roman" w:hAnsi="Times New Roman" w:cs="Times New Roman"/>
          <w:sz w:val="20"/>
        </w:rPr>
        <w:sectPr w:rsidRPr="00C62F6E"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C62F6E" w:rsidR="000D0C45" w:rsidP="000D0C45" w:rsidRDefault="0090499F" w14:paraId="7860BB9B" w14:textId="77777777">
      <w:pPr>
        <w:pStyle w:val="NormalAshurst"/>
        <w:rPr>
          <w:rFonts w:ascii="Times New Roman" w:hAnsi="Times New Roman"/>
          <w:b/>
          <w:sz w:val="20"/>
        </w:rPr>
      </w:pPr>
      <w:r w:rsidRPr="00C62F6E">
        <w:rPr>
          <w:rFonts w:ascii="Times New Roman" w:hAnsi="Times New Roman"/>
          <w:b/>
          <w:sz w:val="20"/>
        </w:rPr>
        <w:lastRenderedPageBreak/>
        <w:t>Information being supplemented</w:t>
      </w:r>
    </w:p>
    <w:p w:rsidRPr="0095742B" w:rsidR="008B2963" w:rsidP="008B2963" w:rsidRDefault="008B2963" w14:paraId="0E66FA65" w14:textId="77777777">
      <w:pPr>
        <w:pStyle w:val="NormalOCAshurst"/>
        <w:jc w:val="left"/>
        <w:rPr>
          <w:b/>
        </w:rPr>
      </w:pPr>
      <w:bookmarkStart w:name="_Hlk142371997" w:id="1"/>
      <w:r w:rsidRPr="0095742B">
        <w:rPr>
          <w:b/>
        </w:rPr>
        <w:t>I.</w:t>
      </w:r>
      <w:r w:rsidRPr="0095742B">
        <w:rPr>
          <w:b/>
        </w:rPr>
        <w:tab/>
        <w:t>Incorporation by reference</w:t>
      </w:r>
    </w:p>
    <w:p w:rsidRPr="0095742B" w:rsidR="008B2963" w:rsidP="008B2963" w:rsidRDefault="008B2963" w14:paraId="1FA0C085" w14:textId="05FCE07C">
      <w:pPr>
        <w:pStyle w:val="NormalAshurst"/>
        <w:ind w:left="567"/>
        <w:rPr>
          <w:rFonts w:ascii="Times New Roman" w:hAnsi="Times New Roman"/>
          <w:sz w:val="20"/>
        </w:rPr>
      </w:pPr>
      <w:r w:rsidRPr="0095742B">
        <w:rPr>
          <w:rFonts w:ascii="Times New Roman" w:hAnsi="Times New Roman"/>
          <w:sz w:val="20"/>
        </w:rPr>
        <w:t>This Supplement incorporates</w:t>
      </w:r>
      <w:r>
        <w:rPr>
          <w:rFonts w:ascii="Times New Roman" w:hAnsi="Times New Roman"/>
          <w:sz w:val="20"/>
        </w:rPr>
        <w:t xml:space="preserve"> </w:t>
      </w:r>
      <w:r w:rsidRPr="0095742B">
        <w:rPr>
          <w:rFonts w:ascii="Times New Roman" w:hAnsi="Times New Roman"/>
          <w:sz w:val="20"/>
        </w:rPr>
        <w:t xml:space="preserve">by reference into the </w:t>
      </w:r>
      <w:r w:rsidR="008776F1">
        <w:rPr>
          <w:rFonts w:ascii="Times New Roman" w:hAnsi="Times New Roman"/>
          <w:sz w:val="20"/>
        </w:rPr>
        <w:t>Offering Circular</w:t>
      </w:r>
      <w:r w:rsidRPr="0095742B">
        <w:rPr>
          <w:rFonts w:ascii="Times New Roman" w:hAnsi="Times New Roman"/>
          <w:sz w:val="20"/>
        </w:rPr>
        <w:t>:</w:t>
      </w:r>
    </w:p>
    <w:p w:rsidRPr="008B2963" w:rsidR="008B2963" w:rsidP="008B2963" w:rsidRDefault="008B2963" w14:paraId="1599C41B" w14:textId="49F38E68">
      <w:pPr>
        <w:pStyle w:val="NormalAshurst"/>
        <w:ind w:left="1134" w:hanging="567"/>
        <w:rPr>
          <w:rFonts w:ascii="Times New Roman" w:hAnsi="Times New Roman" w:cs="Times New Roman"/>
          <w:sz w:val="20"/>
          <w:szCs w:val="20"/>
        </w:rPr>
      </w:pPr>
      <w:r w:rsidRPr="0095742B">
        <w:rPr>
          <w:rFonts w:ascii="Times New Roman" w:hAnsi="Times New Roman" w:cs="Times New Roman"/>
          <w:sz w:val="20"/>
          <w:szCs w:val="20"/>
        </w:rPr>
        <w:t>(a)</w:t>
      </w:r>
      <w:r w:rsidRPr="0095742B">
        <w:rPr>
          <w:rFonts w:ascii="Times New Roman" w:hAnsi="Times New Roman" w:cs="Times New Roman"/>
          <w:b/>
          <w:sz w:val="20"/>
          <w:szCs w:val="20"/>
        </w:rPr>
        <w:tab/>
      </w:r>
      <w:bookmarkEnd w:id="1"/>
      <w:r w:rsidRPr="007B6CC7">
        <w:rPr>
          <w:rFonts w:ascii="Times New Roman" w:hAnsi="Times New Roman"/>
          <w:sz w:val="20"/>
        </w:rPr>
        <w:t xml:space="preserve">the Current Report on Form 8-K of JPMorgan Chase &amp; Co. dated </w:t>
      </w:r>
      <w:r w:rsidR="000640D4">
        <w:rPr>
          <w:rFonts w:ascii="Times New Roman" w:hAnsi="Times New Roman"/>
          <w:sz w:val="20"/>
        </w:rPr>
        <w:t>14</w:t>
      </w:r>
      <w:r w:rsidRPr="00704E01">
        <w:rPr>
          <w:rFonts w:ascii="Times New Roman" w:hAnsi="Times New Roman"/>
          <w:sz w:val="20"/>
        </w:rPr>
        <w:t xml:space="preserve"> </w:t>
      </w:r>
      <w:r>
        <w:rPr>
          <w:rFonts w:ascii="Times New Roman" w:hAnsi="Times New Roman"/>
          <w:sz w:val="20"/>
        </w:rPr>
        <w:t>July 2026</w:t>
      </w:r>
      <w:r w:rsidRPr="007B6CC7">
        <w:rPr>
          <w:rFonts w:ascii="Times New Roman" w:hAnsi="Times New Roman"/>
          <w:sz w:val="20"/>
        </w:rPr>
        <w:t xml:space="preserve"> containing the earnings press release of JPMorgan Chase &amp; Co. for the quarter ended </w:t>
      </w:r>
      <w:r>
        <w:rPr>
          <w:rFonts w:ascii="Times New Roman" w:hAnsi="Times New Roman"/>
          <w:sz w:val="20"/>
        </w:rPr>
        <w:t>30 June 2026</w:t>
      </w:r>
      <w:r w:rsidRPr="007B6CC7">
        <w:rPr>
          <w:rFonts w:ascii="Times New Roman" w:hAnsi="Times New Roman"/>
          <w:sz w:val="20"/>
        </w:rPr>
        <w:t xml:space="preserve">, </w:t>
      </w:r>
      <w:r w:rsidRPr="005F4E14">
        <w:rPr>
          <w:rFonts w:ascii="Times New Roman" w:hAnsi="Times New Roman" w:cs="Times New Roman"/>
          <w:sz w:val="20"/>
          <w:szCs w:val="20"/>
        </w:rPr>
        <w:t xml:space="preserve">as filed with the </w:t>
      </w:r>
      <w:r w:rsidRPr="0017224A">
        <w:rPr>
          <w:rFonts w:ascii="Times New Roman" w:hAnsi="Times New Roman" w:cs="Times New Roman"/>
          <w:sz w:val="20"/>
          <w:szCs w:val="20"/>
        </w:rPr>
        <w:t>United States Securities and Exchange Commission (the "</w:t>
      </w:r>
      <w:r w:rsidRPr="0017224A">
        <w:rPr>
          <w:rFonts w:ascii="Times New Roman" w:hAnsi="Times New Roman" w:cs="Times New Roman"/>
          <w:b/>
          <w:sz w:val="20"/>
          <w:szCs w:val="20"/>
        </w:rPr>
        <w:t xml:space="preserve">JPMorgan Chase &amp; Co. </w:t>
      </w:r>
      <w:r w:rsidR="000640D4">
        <w:rPr>
          <w:rFonts w:ascii="Times New Roman" w:hAnsi="Times New Roman" w:cs="Times New Roman"/>
          <w:b/>
          <w:sz w:val="20"/>
          <w:szCs w:val="20"/>
        </w:rPr>
        <w:t>14</w:t>
      </w:r>
      <w:r w:rsidRPr="00AB5B7E">
        <w:rPr>
          <w:rFonts w:ascii="Times New Roman" w:hAnsi="Times New Roman" w:cs="Times New Roman"/>
          <w:b/>
          <w:sz w:val="20"/>
          <w:szCs w:val="20"/>
        </w:rPr>
        <w:t xml:space="preserve"> </w:t>
      </w:r>
      <w:r w:rsidRPr="00704E01">
        <w:rPr>
          <w:rFonts w:ascii="Times New Roman" w:hAnsi="Times New Roman" w:cs="Times New Roman"/>
          <w:b/>
          <w:sz w:val="20"/>
          <w:szCs w:val="20"/>
        </w:rPr>
        <w:t>July 202</w:t>
      </w:r>
      <w:r>
        <w:rPr>
          <w:rFonts w:ascii="Times New Roman" w:hAnsi="Times New Roman" w:cs="Times New Roman"/>
          <w:b/>
          <w:sz w:val="20"/>
          <w:szCs w:val="20"/>
        </w:rPr>
        <w:t>6 Form 8-K</w:t>
      </w:r>
      <w:r w:rsidRPr="0017224A">
        <w:rPr>
          <w:rFonts w:ascii="Times New Roman" w:hAnsi="Times New Roman" w:cs="Times New Roman"/>
          <w:sz w:val="20"/>
          <w:szCs w:val="20"/>
        </w:rPr>
        <w:t>")</w:t>
      </w:r>
      <w:r w:rsidR="001B1CE4">
        <w:rPr>
          <w:rFonts w:ascii="Times New Roman" w:hAnsi="Times New Roman" w:cs="Times New Roman"/>
          <w:sz w:val="20"/>
          <w:szCs w:val="20"/>
        </w:rPr>
        <w:t>.</w:t>
      </w:r>
      <w:r w:rsidRPr="0017224A">
        <w:rPr>
          <w:rFonts w:ascii="Times New Roman" w:hAnsi="Times New Roman" w:cs="Times New Roman"/>
          <w:sz w:val="20"/>
          <w:szCs w:val="20"/>
        </w:rPr>
        <w:t xml:space="preserve"> </w:t>
      </w:r>
    </w:p>
    <w:tbl>
      <w:tblPr>
        <w:tblW w:w="8505" w:type="dxa"/>
        <w:tblInd w:w="567" w:type="dxa"/>
        <w:tblLook w:val="01E0" w:firstRow="1" w:lastRow="1" w:firstColumn="1" w:lastColumn="1" w:noHBand="0" w:noVBand="0"/>
      </w:tblPr>
      <w:tblGrid>
        <w:gridCol w:w="805"/>
        <w:gridCol w:w="6047"/>
        <w:gridCol w:w="1653"/>
      </w:tblGrid>
      <w:tr w:rsidRPr="00765EC6" w:rsidR="000640D4" w:rsidTr="005857D0" w14:paraId="628310BE" w14:textId="77777777">
        <w:tc>
          <w:tcPr>
            <w:tcW w:w="6852" w:type="dxa"/>
            <w:gridSpan w:val="2"/>
          </w:tcPr>
          <w:p w:rsidRPr="00765EC6" w:rsidR="000640D4" w:rsidP="005857D0" w:rsidRDefault="000640D4" w14:paraId="2A6B82EC" w14:textId="77777777">
            <w:pPr>
              <w:suppressAutoHyphens/>
              <w:spacing w:line="288" w:lineRule="auto"/>
              <w:rPr>
                <w:rFonts w:ascii="Times New Roman" w:hAnsi="Times New Roman"/>
                <w:b/>
                <w:sz w:val="20"/>
                <w:szCs w:val="20"/>
              </w:rPr>
            </w:pPr>
            <w:r w:rsidRPr="00765EC6">
              <w:rPr>
                <w:rFonts w:ascii="Times New Roman" w:hAnsi="Times New Roman"/>
                <w:b/>
                <w:sz w:val="20"/>
                <w:szCs w:val="20"/>
              </w:rPr>
              <w:t>Information incorporated by reference</w:t>
            </w:r>
          </w:p>
          <w:p w:rsidRPr="00765EC6" w:rsidR="000640D4" w:rsidP="005857D0" w:rsidRDefault="000640D4" w14:paraId="798A5745" w14:textId="77777777">
            <w:pPr>
              <w:suppressAutoHyphens/>
              <w:spacing w:line="288" w:lineRule="auto"/>
              <w:rPr>
                <w:rFonts w:ascii="Times New Roman" w:hAnsi="Times New Roman"/>
                <w:b/>
                <w:sz w:val="20"/>
                <w:szCs w:val="20"/>
              </w:rPr>
            </w:pPr>
          </w:p>
        </w:tc>
        <w:tc>
          <w:tcPr>
            <w:tcW w:w="1653" w:type="dxa"/>
            <w:hideMark/>
          </w:tcPr>
          <w:p w:rsidRPr="00765EC6" w:rsidR="000640D4" w:rsidP="005857D0" w:rsidRDefault="000640D4" w14:paraId="4B42F378" w14:textId="77777777">
            <w:pPr>
              <w:suppressAutoHyphens/>
              <w:spacing w:line="288" w:lineRule="auto"/>
              <w:jc w:val="right"/>
              <w:rPr>
                <w:rFonts w:ascii="Times New Roman" w:hAnsi="Times New Roman"/>
                <w:b/>
                <w:sz w:val="20"/>
                <w:szCs w:val="20"/>
              </w:rPr>
            </w:pPr>
            <w:r w:rsidRPr="00765EC6">
              <w:rPr>
                <w:rFonts w:ascii="Times New Roman" w:hAnsi="Times New Roman"/>
                <w:b/>
                <w:sz w:val="20"/>
                <w:szCs w:val="20"/>
              </w:rPr>
              <w:t>Page Number</w:t>
            </w:r>
          </w:p>
        </w:tc>
      </w:tr>
      <w:tr w:rsidRPr="00765EC6" w:rsidR="000640D4" w:rsidTr="005857D0" w14:paraId="51EFA223" w14:textId="77777777">
        <w:tc>
          <w:tcPr>
            <w:tcW w:w="6852" w:type="dxa"/>
            <w:gridSpan w:val="2"/>
            <w:hideMark/>
          </w:tcPr>
          <w:p w:rsidRPr="00765EC6" w:rsidR="000640D4" w:rsidP="005857D0" w:rsidRDefault="000640D4" w14:paraId="5926342B" w14:textId="77777777">
            <w:pPr>
              <w:suppressAutoHyphens/>
              <w:spacing w:line="288" w:lineRule="auto"/>
              <w:rPr>
                <w:rFonts w:ascii="Times New Roman" w:hAnsi="Times New Roman"/>
                <w:b/>
                <w:i/>
                <w:sz w:val="20"/>
                <w:szCs w:val="20"/>
              </w:rPr>
            </w:pPr>
            <w:r w:rsidRPr="00765EC6">
              <w:rPr>
                <w:rFonts w:ascii="Times New Roman" w:hAnsi="Times New Roman"/>
                <w:b/>
                <w:i/>
                <w:sz w:val="20"/>
                <w:szCs w:val="20"/>
              </w:rPr>
              <w:t xml:space="preserve">From the JPMorgan Chase &amp; Co. </w:t>
            </w:r>
            <w:r>
              <w:rPr>
                <w:rFonts w:ascii="Times New Roman" w:hAnsi="Times New Roman"/>
                <w:b/>
                <w:i/>
                <w:sz w:val="20"/>
                <w:szCs w:val="20"/>
              </w:rPr>
              <w:t xml:space="preserve">14 July 2026 </w:t>
            </w:r>
            <w:r w:rsidRPr="00765EC6">
              <w:rPr>
                <w:rFonts w:ascii="Times New Roman" w:hAnsi="Times New Roman"/>
                <w:b/>
                <w:i/>
                <w:sz w:val="20"/>
                <w:szCs w:val="20"/>
              </w:rPr>
              <w:t>Form 8-K*</w:t>
            </w:r>
          </w:p>
        </w:tc>
        <w:tc>
          <w:tcPr>
            <w:tcW w:w="1653" w:type="dxa"/>
          </w:tcPr>
          <w:p w:rsidRPr="00765EC6" w:rsidR="000640D4" w:rsidP="005857D0" w:rsidRDefault="000640D4" w14:paraId="29AC4C16" w14:textId="77777777">
            <w:pPr>
              <w:suppressAutoHyphens/>
              <w:spacing w:line="288" w:lineRule="auto"/>
              <w:rPr>
                <w:rFonts w:ascii="Times New Roman" w:hAnsi="Times New Roman"/>
                <w:b/>
                <w:sz w:val="20"/>
                <w:szCs w:val="20"/>
              </w:rPr>
            </w:pPr>
          </w:p>
        </w:tc>
      </w:tr>
      <w:tr w:rsidRPr="00765EC6" w:rsidR="000640D4" w:rsidTr="005857D0" w14:paraId="25702340" w14:textId="77777777">
        <w:tc>
          <w:tcPr>
            <w:tcW w:w="805" w:type="dxa"/>
            <w:hideMark/>
          </w:tcPr>
          <w:p w:rsidRPr="00765EC6" w:rsidR="000640D4" w:rsidP="005857D0" w:rsidRDefault="000640D4" w14:paraId="712BF0C1" w14:textId="77777777">
            <w:pPr>
              <w:suppressAutoHyphens/>
              <w:spacing w:line="288" w:lineRule="auto"/>
              <w:rPr>
                <w:rFonts w:ascii="Times New Roman" w:hAnsi="Times New Roman"/>
                <w:sz w:val="20"/>
                <w:szCs w:val="20"/>
              </w:rPr>
            </w:pPr>
            <w:r w:rsidRPr="00765EC6">
              <w:rPr>
                <w:rFonts w:ascii="Times New Roman" w:hAnsi="Times New Roman"/>
                <w:sz w:val="20"/>
                <w:szCs w:val="20"/>
              </w:rPr>
              <w:t>Item 2.02</w:t>
            </w:r>
          </w:p>
        </w:tc>
        <w:tc>
          <w:tcPr>
            <w:tcW w:w="6047" w:type="dxa"/>
            <w:hideMark/>
          </w:tcPr>
          <w:p w:rsidRPr="00765EC6" w:rsidR="000640D4" w:rsidP="005857D0" w:rsidRDefault="000640D4" w14:paraId="3DC0065D"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Results of Operations and Financial Condition</w:t>
            </w:r>
          </w:p>
        </w:tc>
        <w:tc>
          <w:tcPr>
            <w:tcW w:w="1653" w:type="dxa"/>
            <w:hideMark/>
          </w:tcPr>
          <w:p w:rsidRPr="00765EC6" w:rsidR="000640D4" w:rsidP="005857D0" w:rsidRDefault="000640D4" w14:paraId="0AC0E725"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 xml:space="preserve">Page </w:t>
            </w:r>
            <w:r>
              <w:rPr>
                <w:rFonts w:ascii="Times New Roman" w:hAnsi="Times New Roman"/>
                <w:sz w:val="20"/>
                <w:szCs w:val="20"/>
              </w:rPr>
              <w:t>2</w:t>
            </w:r>
          </w:p>
        </w:tc>
      </w:tr>
      <w:tr w:rsidRPr="00765EC6" w:rsidR="000640D4" w:rsidTr="005857D0" w14:paraId="3EB934B7" w14:textId="77777777">
        <w:tc>
          <w:tcPr>
            <w:tcW w:w="805" w:type="dxa"/>
            <w:hideMark/>
          </w:tcPr>
          <w:p w:rsidRPr="00765EC6" w:rsidR="000640D4" w:rsidP="005857D0" w:rsidRDefault="000640D4" w14:paraId="5A05198D" w14:textId="77777777">
            <w:pPr>
              <w:suppressAutoHyphens/>
              <w:spacing w:line="288" w:lineRule="auto"/>
              <w:rPr>
                <w:rFonts w:ascii="Times New Roman" w:hAnsi="Times New Roman"/>
                <w:sz w:val="20"/>
                <w:szCs w:val="20"/>
              </w:rPr>
            </w:pPr>
            <w:r w:rsidRPr="00765EC6">
              <w:rPr>
                <w:rFonts w:ascii="Times New Roman" w:hAnsi="Times New Roman"/>
                <w:sz w:val="20"/>
                <w:szCs w:val="20"/>
              </w:rPr>
              <w:t>Item 9.01</w:t>
            </w:r>
          </w:p>
        </w:tc>
        <w:tc>
          <w:tcPr>
            <w:tcW w:w="6047" w:type="dxa"/>
            <w:hideMark/>
          </w:tcPr>
          <w:p w:rsidRPr="00765EC6" w:rsidR="000640D4" w:rsidP="005857D0" w:rsidRDefault="000640D4" w14:paraId="10B2251F"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Financial Statements and Exhibits</w:t>
            </w:r>
          </w:p>
        </w:tc>
        <w:tc>
          <w:tcPr>
            <w:tcW w:w="1653" w:type="dxa"/>
            <w:hideMark/>
          </w:tcPr>
          <w:p w:rsidRPr="00765EC6" w:rsidR="000640D4" w:rsidP="005857D0" w:rsidRDefault="000640D4" w14:paraId="1D46C325"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 xml:space="preserve">Page </w:t>
            </w:r>
            <w:r>
              <w:rPr>
                <w:rFonts w:ascii="Times New Roman" w:hAnsi="Times New Roman"/>
                <w:sz w:val="20"/>
                <w:szCs w:val="20"/>
              </w:rPr>
              <w:t>2</w:t>
            </w:r>
          </w:p>
        </w:tc>
      </w:tr>
      <w:tr w:rsidRPr="00765EC6" w:rsidR="000640D4" w:rsidTr="005857D0" w14:paraId="2C5A8536" w14:textId="77777777">
        <w:tc>
          <w:tcPr>
            <w:tcW w:w="805" w:type="dxa"/>
            <w:hideMark/>
          </w:tcPr>
          <w:p w:rsidRPr="00765EC6" w:rsidR="000640D4" w:rsidP="005857D0" w:rsidRDefault="000640D4" w14:paraId="622814E3" w14:textId="77777777">
            <w:pPr>
              <w:suppressAutoHyphens/>
              <w:spacing w:line="288" w:lineRule="auto"/>
              <w:rPr>
                <w:rFonts w:ascii="Times New Roman" w:hAnsi="Times New Roman"/>
                <w:sz w:val="20"/>
                <w:szCs w:val="20"/>
              </w:rPr>
            </w:pPr>
            <w:r w:rsidRPr="00765EC6">
              <w:rPr>
                <w:rFonts w:ascii="Times New Roman" w:hAnsi="Times New Roman"/>
                <w:sz w:val="20"/>
                <w:szCs w:val="20"/>
              </w:rPr>
              <w:t>Exhibit 99.1</w:t>
            </w:r>
          </w:p>
        </w:tc>
        <w:tc>
          <w:tcPr>
            <w:tcW w:w="6047" w:type="dxa"/>
            <w:hideMark/>
          </w:tcPr>
          <w:p w:rsidRPr="00765EC6" w:rsidR="000640D4" w:rsidP="005857D0" w:rsidRDefault="000640D4" w14:paraId="36B64273"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 xml:space="preserve">JPMorgan Chase &amp; Co. Earnings Release – </w:t>
            </w:r>
            <w:r>
              <w:rPr>
                <w:rFonts w:ascii="Times New Roman" w:hAnsi="Times New Roman"/>
                <w:sz w:val="20"/>
                <w:szCs w:val="20"/>
              </w:rPr>
              <w:t>Second</w:t>
            </w:r>
            <w:r w:rsidRPr="00765EC6">
              <w:rPr>
                <w:rFonts w:ascii="Times New Roman" w:hAnsi="Times New Roman"/>
                <w:sz w:val="20"/>
                <w:szCs w:val="20"/>
              </w:rPr>
              <w:t xml:space="preserve"> Quarter 202</w:t>
            </w:r>
            <w:r>
              <w:rPr>
                <w:rFonts w:ascii="Times New Roman" w:hAnsi="Times New Roman"/>
                <w:sz w:val="20"/>
                <w:szCs w:val="20"/>
              </w:rPr>
              <w:t>6</w:t>
            </w:r>
            <w:r w:rsidRPr="00765EC6">
              <w:rPr>
                <w:rFonts w:ascii="Times New Roman" w:hAnsi="Times New Roman"/>
                <w:sz w:val="20"/>
                <w:szCs w:val="20"/>
              </w:rPr>
              <w:t xml:space="preserve"> Results</w:t>
            </w:r>
          </w:p>
        </w:tc>
        <w:tc>
          <w:tcPr>
            <w:tcW w:w="1653" w:type="dxa"/>
            <w:hideMark/>
          </w:tcPr>
          <w:p w:rsidRPr="00765EC6" w:rsidR="000640D4" w:rsidP="005857D0" w:rsidRDefault="000640D4" w14:paraId="09200488"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 xml:space="preserve">Pages </w:t>
            </w:r>
            <w:r>
              <w:rPr>
                <w:rFonts w:ascii="Times New Roman" w:hAnsi="Times New Roman"/>
                <w:sz w:val="20"/>
                <w:szCs w:val="20"/>
              </w:rPr>
              <w:t>4</w:t>
            </w:r>
            <w:r w:rsidRPr="00765EC6">
              <w:rPr>
                <w:rFonts w:ascii="Times New Roman" w:hAnsi="Times New Roman"/>
                <w:sz w:val="20"/>
                <w:szCs w:val="20"/>
              </w:rPr>
              <w:t xml:space="preserve"> to </w:t>
            </w:r>
            <w:r>
              <w:rPr>
                <w:rFonts w:ascii="Times New Roman" w:hAnsi="Times New Roman"/>
                <w:sz w:val="20"/>
                <w:szCs w:val="20"/>
              </w:rPr>
              <w:t>11</w:t>
            </w:r>
          </w:p>
        </w:tc>
      </w:tr>
      <w:tr w:rsidRPr="00765EC6" w:rsidR="000640D4" w:rsidTr="005857D0" w14:paraId="3BC7C433" w14:textId="77777777">
        <w:tc>
          <w:tcPr>
            <w:tcW w:w="805" w:type="dxa"/>
            <w:hideMark/>
          </w:tcPr>
          <w:p w:rsidRPr="00765EC6" w:rsidR="000640D4" w:rsidP="005857D0" w:rsidRDefault="000640D4" w14:paraId="27B53E1D" w14:textId="77777777">
            <w:pPr>
              <w:suppressAutoHyphens/>
              <w:spacing w:line="288" w:lineRule="auto"/>
              <w:rPr>
                <w:rFonts w:ascii="Times New Roman" w:hAnsi="Times New Roman"/>
                <w:sz w:val="20"/>
                <w:szCs w:val="20"/>
              </w:rPr>
            </w:pPr>
            <w:r w:rsidRPr="00765EC6">
              <w:rPr>
                <w:rFonts w:ascii="Times New Roman" w:hAnsi="Times New Roman"/>
                <w:sz w:val="20"/>
                <w:szCs w:val="20"/>
              </w:rPr>
              <w:t>Exhibit 99.2</w:t>
            </w:r>
          </w:p>
        </w:tc>
        <w:tc>
          <w:tcPr>
            <w:tcW w:w="6047" w:type="dxa"/>
            <w:hideMark/>
          </w:tcPr>
          <w:p w:rsidRPr="00765EC6" w:rsidR="000640D4" w:rsidP="005857D0" w:rsidRDefault="000640D4" w14:paraId="6F1C9BAD"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 xml:space="preserve">JPMorgan Chase &amp; Co. Earnings Release Financial Supplement – </w:t>
            </w:r>
            <w:r>
              <w:rPr>
                <w:rFonts w:ascii="Times New Roman" w:hAnsi="Times New Roman"/>
                <w:sz w:val="20"/>
                <w:szCs w:val="20"/>
              </w:rPr>
              <w:t>Second</w:t>
            </w:r>
            <w:r w:rsidRPr="00765EC6">
              <w:rPr>
                <w:rFonts w:ascii="Times New Roman" w:hAnsi="Times New Roman"/>
                <w:sz w:val="20"/>
                <w:szCs w:val="20"/>
              </w:rPr>
              <w:t xml:space="preserve"> Quarter 202</w:t>
            </w:r>
            <w:r>
              <w:rPr>
                <w:rFonts w:ascii="Times New Roman" w:hAnsi="Times New Roman"/>
                <w:sz w:val="20"/>
                <w:szCs w:val="20"/>
              </w:rPr>
              <w:t>6</w:t>
            </w:r>
          </w:p>
        </w:tc>
        <w:tc>
          <w:tcPr>
            <w:tcW w:w="1653" w:type="dxa"/>
            <w:hideMark/>
          </w:tcPr>
          <w:p w:rsidRPr="00765EC6" w:rsidR="000640D4" w:rsidP="005857D0" w:rsidRDefault="000640D4" w14:paraId="378D1E14"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Pages</w:t>
            </w:r>
            <w:r>
              <w:rPr>
                <w:rFonts w:ascii="Times New Roman" w:hAnsi="Times New Roman"/>
                <w:sz w:val="20"/>
                <w:szCs w:val="20"/>
              </w:rPr>
              <w:t xml:space="preserve"> 12</w:t>
            </w:r>
            <w:r w:rsidRPr="00765EC6">
              <w:rPr>
                <w:rFonts w:ascii="Times New Roman" w:hAnsi="Times New Roman"/>
                <w:sz w:val="20"/>
                <w:szCs w:val="20"/>
              </w:rPr>
              <w:t xml:space="preserve"> to </w:t>
            </w:r>
            <w:r>
              <w:rPr>
                <w:rFonts w:ascii="Times New Roman" w:hAnsi="Times New Roman"/>
                <w:sz w:val="20"/>
                <w:szCs w:val="20"/>
              </w:rPr>
              <w:t>40</w:t>
            </w:r>
          </w:p>
        </w:tc>
      </w:tr>
      <w:tr w:rsidRPr="00765EC6" w:rsidR="000640D4" w:rsidTr="005857D0" w14:paraId="2499A8A4" w14:textId="77777777">
        <w:tc>
          <w:tcPr>
            <w:tcW w:w="8505" w:type="dxa"/>
            <w:gridSpan w:val="3"/>
            <w:hideMark/>
          </w:tcPr>
          <w:p w:rsidRPr="00765EC6" w:rsidR="000640D4" w:rsidP="005857D0" w:rsidRDefault="000640D4" w14:paraId="79BEB7AF" w14:textId="77777777">
            <w:pPr>
              <w:suppressAutoHyphens/>
              <w:spacing w:line="288" w:lineRule="auto"/>
              <w:rPr>
                <w:rFonts w:ascii="Times New Roman" w:hAnsi="Times New Roman"/>
                <w:sz w:val="16"/>
                <w:szCs w:val="16"/>
              </w:rPr>
            </w:pPr>
            <w:r w:rsidRPr="00765EC6">
              <w:rPr>
                <w:rFonts w:ascii="Times New Roman" w:hAnsi="Times New Roman"/>
                <w:sz w:val="16"/>
                <w:szCs w:val="16"/>
                <w:vertAlign w:val="superscript"/>
              </w:rPr>
              <w:t>*</w:t>
            </w:r>
            <w:r w:rsidRPr="00765EC6">
              <w:rPr>
                <w:rFonts w:ascii="Times New Roman" w:hAnsi="Times New Roman"/>
                <w:sz w:val="16"/>
                <w:szCs w:val="16"/>
              </w:rPr>
              <w:t xml:space="preserve"> The page numbers set out above are references to the PDF pages included in the JPMorgan Chase &amp; Co.</w:t>
            </w:r>
            <w:r w:rsidRPr="00DD5504">
              <w:rPr>
                <w:rFonts w:hint="eastAsia" w:ascii="Times New Roman" w:hAnsi="Times New Roman"/>
                <w:sz w:val="16"/>
                <w:szCs w:val="16"/>
              </w:rPr>
              <w:t xml:space="preserve"> </w:t>
            </w:r>
            <w:r>
              <w:rPr>
                <w:rFonts w:ascii="Times New Roman" w:hAnsi="Times New Roman"/>
                <w:sz w:val="16"/>
                <w:szCs w:val="16"/>
              </w:rPr>
              <w:t xml:space="preserve">14 </w:t>
            </w:r>
            <w:r w:rsidRPr="00DD5504">
              <w:rPr>
                <w:rFonts w:ascii="Times New Roman" w:hAnsi="Times New Roman"/>
                <w:sz w:val="16"/>
                <w:szCs w:val="16"/>
              </w:rPr>
              <w:t>July 202</w:t>
            </w:r>
            <w:r>
              <w:rPr>
                <w:rFonts w:ascii="Times New Roman" w:hAnsi="Times New Roman"/>
                <w:sz w:val="16"/>
                <w:szCs w:val="16"/>
              </w:rPr>
              <w:t>6</w:t>
            </w:r>
            <w:r w:rsidRPr="00DD5504">
              <w:rPr>
                <w:rFonts w:ascii="Times New Roman" w:hAnsi="Times New Roman"/>
                <w:sz w:val="16"/>
                <w:szCs w:val="16"/>
              </w:rPr>
              <w:t xml:space="preserve"> </w:t>
            </w:r>
            <w:r w:rsidRPr="00765EC6">
              <w:rPr>
                <w:rFonts w:ascii="Times New Roman" w:hAnsi="Times New Roman"/>
                <w:sz w:val="16"/>
                <w:szCs w:val="16"/>
              </w:rPr>
              <w:t>Form 8-K.</w:t>
            </w:r>
          </w:p>
        </w:tc>
      </w:tr>
    </w:tbl>
    <w:p w:rsidR="008B2963" w:rsidP="008B2963" w:rsidRDefault="008B2963" w14:paraId="5F018791" w14:textId="77777777">
      <w:pPr>
        <w:pStyle w:val="NormalOCAshurst"/>
        <w:ind w:left="567"/>
        <w:jc w:val="left"/>
      </w:pPr>
    </w:p>
    <w:p w:rsidR="008B2963" w:rsidP="008B2963" w:rsidRDefault="008D63D3" w14:paraId="60FF8486" w14:textId="0DB13640">
      <w:pPr>
        <w:pStyle w:val="NormalOCAshurst"/>
        <w:rPr>
          <w:b/>
          <w:bCs/>
        </w:rPr>
      </w:pPr>
      <w:bookmarkStart w:name="_Hlk219211171" w:id="2"/>
      <w:r w:rsidRPr="00C62F6E">
        <w:rPr>
          <w:b/>
          <w:bCs/>
        </w:rPr>
        <w:t>I</w:t>
      </w:r>
      <w:r w:rsidRPr="00C62F6E" w:rsidR="004C36C5">
        <w:rPr>
          <w:b/>
          <w:bCs/>
        </w:rPr>
        <w:t>I.</w:t>
      </w:r>
      <w:r w:rsidRPr="00C62F6E" w:rsidR="004C36C5">
        <w:rPr>
          <w:b/>
          <w:bCs/>
        </w:rPr>
        <w:tab/>
      </w:r>
      <w:r w:rsidRPr="00C62F6E" w:rsidR="00A37362">
        <w:rPr>
          <w:b/>
          <w:bCs/>
        </w:rPr>
        <w:t xml:space="preserve">Amendments to the </w:t>
      </w:r>
      <w:r w:rsidR="001E1D37">
        <w:rPr>
          <w:b/>
          <w:bCs/>
        </w:rPr>
        <w:t xml:space="preserve">section entitled </w:t>
      </w:r>
      <w:r w:rsidR="008B2963">
        <w:rPr>
          <w:b/>
          <w:bCs/>
        </w:rPr>
        <w:t>General Conditions</w:t>
      </w:r>
      <w:bookmarkEnd w:id="2"/>
    </w:p>
    <w:p w:rsidR="009F6DE0" w:rsidP="009F6DE0" w:rsidRDefault="006D3AFF" w14:paraId="204B0AB4" w14:textId="37116FB8">
      <w:pPr>
        <w:pStyle w:val="NormalOCAshurst"/>
        <w:ind w:left="567"/>
        <w:rPr>
          <w:rFonts w:eastAsia="Microsoft JhengHei"/>
        </w:rPr>
      </w:pPr>
      <w:r>
        <w:rPr>
          <w:rFonts w:eastAsia="Microsoft JhengHei"/>
        </w:rPr>
        <w:t>General Condition</w:t>
      </w:r>
      <w:r w:rsidRPr="00C62F6E" w:rsidR="008B2963">
        <w:rPr>
          <w:rFonts w:eastAsia="Microsoft JhengHei"/>
        </w:rPr>
        <w:t xml:space="preserve"> </w:t>
      </w:r>
      <w:r w:rsidR="009F6DE0">
        <w:rPr>
          <w:rFonts w:eastAsia="Microsoft JhengHei"/>
        </w:rPr>
        <w:t xml:space="preserve">15.1(d) </w:t>
      </w:r>
      <w:r w:rsidRPr="00C62F6E" w:rsidR="008B2963">
        <w:rPr>
          <w:rFonts w:eastAsia="Microsoft JhengHei"/>
        </w:rPr>
        <w:t>entitled "</w:t>
      </w:r>
      <w:r w:rsidRPr="009F6DE0" w:rsidR="009F6DE0">
        <w:rPr>
          <w:rFonts w:eastAsia="Microsoft JhengHei"/>
        </w:rPr>
        <w:t>Insolvency of JPMSP or repudiation of the JPMorgan Chase Bank, N.A. Guarantee</w:t>
      </w:r>
      <w:r w:rsidRPr="00C62F6E" w:rsidR="008B2963">
        <w:rPr>
          <w:rFonts w:eastAsia="Microsoft JhengHei"/>
        </w:rPr>
        <w:t>" on page</w:t>
      </w:r>
      <w:r w:rsidR="009F6DE0">
        <w:rPr>
          <w:rFonts w:eastAsia="Microsoft JhengHei"/>
        </w:rPr>
        <w:t>s</w:t>
      </w:r>
      <w:r w:rsidRPr="00C62F6E" w:rsidR="008B2963">
        <w:rPr>
          <w:rFonts w:eastAsia="Microsoft JhengHei"/>
        </w:rPr>
        <w:t xml:space="preserve"> </w:t>
      </w:r>
      <w:r w:rsidR="009F6DE0">
        <w:rPr>
          <w:rFonts w:eastAsia="Microsoft JhengHei"/>
        </w:rPr>
        <w:t>325 to 326</w:t>
      </w:r>
      <w:r w:rsidRPr="00C62F6E" w:rsidR="008B2963">
        <w:rPr>
          <w:rFonts w:eastAsia="Microsoft JhengHei"/>
        </w:rPr>
        <w:t xml:space="preserve"> of the Original Offering Circular shall be deleted in its entirety and replaced with the following:</w:t>
      </w:r>
      <w:bookmarkStart w:name="_Ref505015715" w:id="3"/>
    </w:p>
    <w:p w:rsidRPr="005A1BFE" w:rsidR="009F6DE0" w:rsidP="005A1BFE" w:rsidRDefault="009F6DE0" w14:paraId="47D97071" w14:textId="7747C933">
      <w:pPr>
        <w:pStyle w:val="AltH4OCAshurst"/>
        <w:numPr>
          <w:ilvl w:val="0"/>
          <w:numId w:val="0"/>
        </w:numPr>
        <w:tabs>
          <w:tab w:val="clear" w:pos="2880"/>
        </w:tabs>
        <w:ind w:left="1276" w:hanging="567"/>
      </w:pPr>
      <w:r>
        <w:t>"(d)</w:t>
      </w:r>
      <w:r w:rsidRPr="00C62F6E" w:rsidR="005A1BFE">
        <w:rPr>
          <w:b/>
          <w:bCs/>
          <w:i/>
          <w:iCs/>
        </w:rPr>
        <w:tab/>
      </w:r>
      <w:r w:rsidRPr="005A1BFE">
        <w:rPr>
          <w:b/>
          <w:bCs/>
          <w:i/>
          <w:iCs/>
        </w:rPr>
        <w:t>Insolvency of JPMSP or repudiation of the JPMorgan Chase Bank, N.A. Guarantee</w:t>
      </w:r>
      <w:bookmarkEnd w:id="3"/>
    </w:p>
    <w:p w:rsidRPr="00F071EA" w:rsidR="009F6DE0" w:rsidP="005A1BFE" w:rsidRDefault="009F6DE0" w14:paraId="7BBB8194" w14:textId="77777777">
      <w:pPr>
        <w:pStyle w:val="AltH4OCAshurst"/>
        <w:numPr>
          <w:ilvl w:val="0"/>
          <w:numId w:val="0"/>
        </w:numPr>
        <w:tabs>
          <w:tab w:val="clear" w:pos="2880"/>
        </w:tabs>
        <w:ind w:left="1843" w:hanging="567"/>
      </w:pPr>
      <w:r w:rsidRPr="00F071EA">
        <w:t>In respect of Securities issued by JPMSP:</w:t>
      </w:r>
    </w:p>
    <w:p w:rsidRPr="00F071EA" w:rsidR="009F6DE0" w:rsidP="005A1BFE" w:rsidRDefault="009F6DE0" w14:paraId="6367057F" w14:textId="17FEA50D">
      <w:pPr>
        <w:pStyle w:val="AltH4OCAshurst"/>
        <w:tabs>
          <w:tab w:val="clear" w:pos="1276"/>
          <w:tab w:val="clear" w:pos="2880"/>
          <w:tab w:val="num" w:pos="1843"/>
        </w:tabs>
        <w:ind w:left="1843"/>
      </w:pPr>
      <w:r w:rsidRPr="00F071EA">
        <w:t>the Issuer applies for suspension of payments (</w:t>
      </w:r>
      <w:r w:rsidRPr="00F071EA">
        <w:rPr>
          <w:i/>
        </w:rPr>
        <w:t>surséance van betaling</w:t>
      </w:r>
      <w:r w:rsidRPr="00F071EA">
        <w:t>) or has been declared bankrupt (</w:t>
      </w:r>
      <w:r w:rsidRPr="00F071EA">
        <w:rPr>
          <w:i/>
        </w:rPr>
        <w:t>failliet verklaard</w:t>
      </w:r>
      <w:r w:rsidRPr="00F071EA">
        <w:t>), in both cases within the meaning of the Netherlands Bankruptcy Act (</w:t>
      </w:r>
      <w:r w:rsidRPr="00F071EA">
        <w:rPr>
          <w:i/>
        </w:rPr>
        <w:t>Faillissementswet</w:t>
      </w:r>
      <w:r w:rsidRPr="00F071EA">
        <w:t>) and, in each case, any such proceedings remain unstayed and in effect for a period of 90 consecutive calendar days; or</w:t>
      </w:r>
    </w:p>
    <w:p w:rsidRPr="00F071EA" w:rsidR="009F6DE0" w:rsidP="005A1BFE" w:rsidRDefault="009F6DE0" w14:paraId="024AC75C" w14:textId="77777777">
      <w:pPr>
        <w:pStyle w:val="AltH4OCAshurst"/>
        <w:tabs>
          <w:tab w:val="clear" w:pos="1276"/>
          <w:tab w:val="clear" w:pos="2880"/>
          <w:tab w:val="num" w:pos="1843"/>
        </w:tabs>
        <w:ind w:left="1843"/>
      </w:pPr>
      <w:r w:rsidRPr="00F071EA">
        <w:t>an order is made by any competent court or an effective resolution passed for the winding-up or dissolution of JPMSP or JPMSP ceases or threatens to cease to carry on all or a substantial part of its business or operations, in each case except for the purpose of and followed by a reconstruction, amalgamation, reorganisation, merger or consolidation on terms approved by an Extraordinary Resolution of the Holders (provided that, where the relevant event also comes within the terms of paragraph (i) above, then the terms of paragraph (i) above shall prevail over the terms of this paragraph (ii)); or</w:t>
      </w:r>
    </w:p>
    <w:p w:rsidR="009C5DDE" w:rsidP="009C5DDE" w:rsidRDefault="009F6DE0" w14:paraId="44EA56A9" w14:textId="53210EA7">
      <w:pPr>
        <w:pStyle w:val="AltH4OCAshurst"/>
        <w:tabs>
          <w:tab w:val="clear" w:pos="1276"/>
          <w:tab w:val="clear" w:pos="2880"/>
          <w:tab w:val="num" w:pos="1843"/>
        </w:tabs>
        <w:ind w:left="1843"/>
      </w:pPr>
      <w:r w:rsidRPr="00F071EA">
        <w:t>the JPMorgan Chase Bank, N.A. Guarantee is not (or is claimed by JPMorgan Chase Bank, N.A. not to be) in full force and effect; or</w:t>
      </w:r>
      <w:r>
        <w:t>"</w:t>
      </w:r>
    </w:p>
    <w:p w:rsidR="009C5DDE" w:rsidP="009C5DDE" w:rsidRDefault="009C5DDE" w14:paraId="32BBC672" w14:textId="6D084F05">
      <w:pPr>
        <w:pStyle w:val="NormalOCAshurst"/>
        <w:spacing w:before="240"/>
        <w:rPr>
          <w:b/>
          <w:bCs/>
        </w:rPr>
      </w:pPr>
      <w:r w:rsidRPr="00C62F6E">
        <w:rPr>
          <w:b/>
          <w:bCs/>
        </w:rPr>
        <w:t>I</w:t>
      </w:r>
      <w:r w:rsidRPr="00C62F6E" w:rsidR="002D5095">
        <w:rPr>
          <w:b/>
          <w:bCs/>
        </w:rPr>
        <w:t>II</w:t>
      </w:r>
      <w:r w:rsidRPr="00C62F6E">
        <w:rPr>
          <w:b/>
          <w:bCs/>
        </w:rPr>
        <w:t>.</w:t>
      </w:r>
      <w:r w:rsidRPr="00C62F6E">
        <w:rPr>
          <w:b/>
          <w:bCs/>
        </w:rPr>
        <w:tab/>
        <w:t xml:space="preserve">Amendments to the </w:t>
      </w:r>
      <w:r>
        <w:rPr>
          <w:b/>
          <w:bCs/>
        </w:rPr>
        <w:t>section entitled Subscription and Sale</w:t>
      </w:r>
    </w:p>
    <w:p w:rsidR="009C5DDE" w:rsidP="009C5DDE" w:rsidRDefault="00BC15C3" w14:paraId="68B8E2A5" w14:textId="3A051A0C">
      <w:pPr>
        <w:pStyle w:val="NormalOCAshurst"/>
        <w:ind w:left="567"/>
        <w:rPr>
          <w:rFonts w:eastAsia="Microsoft JhengHei"/>
        </w:rPr>
      </w:pPr>
      <w:r>
        <w:rPr>
          <w:rFonts w:eastAsia="Microsoft JhengHei"/>
        </w:rPr>
        <w:t xml:space="preserve">The sub-section headed "Saudi Arabia, Kingdom of" immediately after the existing sub-section headed "Russia" </w:t>
      </w:r>
      <w:r w:rsidRPr="009C5DDE" w:rsidR="009C5DDE">
        <w:rPr>
          <w:rFonts w:eastAsia="Microsoft JhengHei"/>
        </w:rPr>
        <w:t xml:space="preserve">and immediately before the existing </w:t>
      </w:r>
      <w:r w:rsidR="009C5DDE">
        <w:rPr>
          <w:rFonts w:eastAsia="Microsoft JhengHei"/>
        </w:rPr>
        <w:t xml:space="preserve">section entitled "Singapore" </w:t>
      </w:r>
      <w:r w:rsidRPr="00C62F6E" w:rsidR="009C5DDE">
        <w:rPr>
          <w:rFonts w:eastAsia="Microsoft JhengHei"/>
        </w:rPr>
        <w:t>on page</w:t>
      </w:r>
      <w:r w:rsidR="009C5DDE">
        <w:rPr>
          <w:rFonts w:eastAsia="Microsoft JhengHei"/>
        </w:rPr>
        <w:t xml:space="preserve"> 650</w:t>
      </w:r>
      <w:r w:rsidRPr="00C62F6E" w:rsidR="009C5DDE">
        <w:rPr>
          <w:rFonts w:eastAsia="Microsoft JhengHei"/>
        </w:rPr>
        <w:t xml:space="preserve"> of the Original Offering Circular </w:t>
      </w:r>
      <w:r>
        <w:rPr>
          <w:rFonts w:eastAsia="Microsoft JhengHei"/>
        </w:rPr>
        <w:t>shall be deleted in its entirety and replaced with the following</w:t>
      </w:r>
      <w:r w:rsidRPr="00C62F6E" w:rsidR="009C5DDE">
        <w:rPr>
          <w:rFonts w:eastAsia="Microsoft JhengHei"/>
        </w:rPr>
        <w:t>:</w:t>
      </w:r>
    </w:p>
    <w:p w:rsidRPr="00BC15C3" w:rsidR="009C5DDE" w:rsidP="009C5DDE" w:rsidRDefault="009C5DDE" w14:paraId="3DA057F0" w14:textId="77777777">
      <w:pPr>
        <w:pStyle w:val="AltH1OCAshurst"/>
        <w:numPr>
          <w:ilvl w:val="0"/>
          <w:numId w:val="0"/>
        </w:numPr>
        <w:ind w:left="709" w:hanging="709"/>
      </w:pPr>
    </w:p>
    <w:p w:rsidRPr="00BC15C3" w:rsidR="009C5DDE" w:rsidP="00BC15C3" w:rsidRDefault="009C5DDE" w14:paraId="1D4451CF" w14:textId="447662FB">
      <w:pPr>
        <w:pStyle w:val="Body"/>
        <w:ind w:left="567"/>
        <w:rPr>
          <w:rFonts w:ascii="Times New Roman" w:hAnsi="Times New Roman" w:cs="Times New Roman"/>
        </w:rPr>
      </w:pPr>
      <w:r w:rsidRPr="00BC15C3">
        <w:rPr>
          <w:rFonts w:ascii="Times New Roman" w:hAnsi="Times New Roman" w:cs="Times New Roman"/>
        </w:rPr>
        <w:t xml:space="preserve">"This </w:t>
      </w:r>
      <w:r w:rsidRPr="00BC15C3" w:rsidR="00BC15C3">
        <w:rPr>
          <w:rFonts w:ascii="Times New Roman" w:hAnsi="Times New Roman" w:cs="Times New Roman"/>
        </w:rPr>
        <w:t>Offering Circular</w:t>
      </w:r>
      <w:r w:rsidRPr="00BC15C3">
        <w:rPr>
          <w:rFonts w:ascii="Times New Roman" w:hAnsi="Times New Roman" w:cs="Times New Roman"/>
        </w:rPr>
        <w:t xml:space="preserve"> may not be distributed in the Kingdom of Saudi Arabia except to such persons as are permitted under the Rules on the Offer of Securities and Continuing Obligations issued by the Capital Market Authority of the Kingdom of Saudi Arabia ("</w:t>
      </w:r>
      <w:r w:rsidRPr="00BC15C3">
        <w:rPr>
          <w:rFonts w:ascii="Times New Roman" w:hAnsi="Times New Roman" w:cs="Times New Roman"/>
          <w:b/>
          <w:bCs/>
        </w:rPr>
        <w:t>CMA</w:t>
      </w:r>
      <w:r w:rsidRPr="00BC15C3">
        <w:rPr>
          <w:rFonts w:ascii="Times New Roman" w:hAnsi="Times New Roman" w:cs="Times New Roman"/>
        </w:rPr>
        <w:t>").</w:t>
      </w:r>
    </w:p>
    <w:p w:rsidRPr="00BC15C3" w:rsidR="009C5DDE" w:rsidP="00BC15C3" w:rsidRDefault="009C5DDE" w14:paraId="610330B0" w14:textId="658CC389">
      <w:pPr>
        <w:spacing w:after="140" w:line="288" w:lineRule="auto"/>
        <w:ind w:left="567"/>
        <w:rPr>
          <w:rFonts w:ascii="Times New Roman" w:hAnsi="Times New Roman" w:eastAsia="DengXian"/>
          <w:sz w:val="20"/>
          <w:szCs w:val="20"/>
          <w:lang w:eastAsia="en-US"/>
        </w:rPr>
      </w:pPr>
      <w:r w:rsidRPr="00BC15C3">
        <w:rPr>
          <w:rFonts w:ascii="Times New Roman" w:hAnsi="Times New Roman" w:eastAsia="DengXian"/>
          <w:sz w:val="20"/>
          <w:szCs w:val="20"/>
          <w:lang w:eastAsia="en-US"/>
        </w:rPr>
        <w:t xml:space="preserve">The CMA does not make any representations as to the accuracy or completeness of this </w:t>
      </w:r>
      <w:r w:rsidRPr="00BC15C3" w:rsidR="00BC15C3">
        <w:rPr>
          <w:rFonts w:ascii="Times New Roman" w:hAnsi="Times New Roman"/>
          <w:sz w:val="20"/>
          <w:szCs w:val="20"/>
        </w:rPr>
        <w:t>Offering Circular</w:t>
      </w:r>
      <w:r w:rsidRPr="00BC15C3">
        <w:rPr>
          <w:rFonts w:ascii="Times New Roman" w:hAnsi="Times New Roman" w:eastAsia="DengXian"/>
          <w:sz w:val="20"/>
          <w:szCs w:val="20"/>
          <w:lang w:eastAsia="en-US"/>
        </w:rPr>
        <w:t xml:space="preserve">, and expressly disclaims any liability whatsoever for any loss arising from, or incurred in reliance upon, any part of this </w:t>
      </w:r>
      <w:r w:rsidRPr="00BC15C3" w:rsidR="00BC15C3">
        <w:rPr>
          <w:rFonts w:ascii="Times New Roman" w:hAnsi="Times New Roman"/>
          <w:sz w:val="20"/>
          <w:szCs w:val="20"/>
        </w:rPr>
        <w:t>Offering Circular</w:t>
      </w:r>
      <w:r w:rsidRPr="00BC15C3">
        <w:rPr>
          <w:rFonts w:ascii="Times New Roman" w:hAnsi="Times New Roman" w:eastAsia="DengXian"/>
          <w:sz w:val="20"/>
          <w:szCs w:val="20"/>
          <w:lang w:eastAsia="en-US"/>
        </w:rPr>
        <w:t xml:space="preserve">. Prospective investors should conduct their own due diligence on the accuracy of the information relating to the securities. If a prospective investor does not understand the contents of this </w:t>
      </w:r>
      <w:r w:rsidRPr="00BC15C3" w:rsidR="00BC15C3">
        <w:rPr>
          <w:rFonts w:ascii="Times New Roman" w:hAnsi="Times New Roman"/>
          <w:sz w:val="20"/>
          <w:szCs w:val="20"/>
        </w:rPr>
        <w:t>Offering Circular</w:t>
      </w:r>
      <w:r w:rsidRPr="00BC15C3">
        <w:rPr>
          <w:rFonts w:ascii="Times New Roman" w:hAnsi="Times New Roman" w:eastAsia="DengXian"/>
          <w:sz w:val="20"/>
          <w:szCs w:val="20"/>
          <w:lang w:eastAsia="en-US"/>
        </w:rPr>
        <w:t xml:space="preserve"> he or she should consult an authorised financial adviser.</w:t>
      </w:r>
    </w:p>
    <w:p w:rsidRPr="00BC15C3" w:rsidR="009C5DDE" w:rsidP="00BC15C3" w:rsidRDefault="009C5DDE" w14:paraId="526FBC82" w14:textId="4BCEA10B">
      <w:pPr>
        <w:spacing w:after="140" w:line="288" w:lineRule="auto"/>
        <w:ind w:left="567"/>
        <w:rPr>
          <w:rFonts w:ascii="Times New Roman" w:hAnsi="Times New Roman" w:eastAsia="DengXian"/>
          <w:sz w:val="20"/>
          <w:szCs w:val="20"/>
          <w:lang w:eastAsia="en-US"/>
        </w:rPr>
      </w:pPr>
      <w:r w:rsidRPr="00BC15C3">
        <w:rPr>
          <w:rFonts w:ascii="Times New Roman" w:hAnsi="Times New Roman" w:eastAsia="DengXian"/>
          <w:sz w:val="20"/>
          <w:szCs w:val="20"/>
          <w:lang w:eastAsia="en-US"/>
        </w:rPr>
        <w:t>Any investor in the Kingdom of Saudi Arabia (a "</w:t>
      </w:r>
      <w:r w:rsidRPr="00BC15C3">
        <w:rPr>
          <w:rFonts w:ascii="Times New Roman" w:hAnsi="Times New Roman" w:eastAsia="DengXian"/>
          <w:b/>
          <w:bCs/>
          <w:sz w:val="20"/>
          <w:szCs w:val="20"/>
          <w:lang w:eastAsia="en-US"/>
        </w:rPr>
        <w:t>Saudi Investor</w:t>
      </w:r>
      <w:r w:rsidRPr="00BC15C3">
        <w:rPr>
          <w:rFonts w:ascii="Times New Roman" w:hAnsi="Times New Roman" w:eastAsia="DengXian"/>
          <w:sz w:val="20"/>
          <w:szCs w:val="20"/>
          <w:lang w:eastAsia="en-US"/>
        </w:rPr>
        <w:t xml:space="preserve">") who acquires any securities pursuant to an offering should note that the offer of securities is a restricted offer to investors who qualify under the category of Institutional and/or Qualified Client </w:t>
      </w:r>
      <w:r w:rsidRPr="00BC15C3" w:rsidR="00BC15C3">
        <w:rPr>
          <w:rFonts w:ascii="Times New Roman" w:hAnsi="Times New Roman" w:eastAsia="DengXian"/>
          <w:sz w:val="20"/>
          <w:szCs w:val="20"/>
          <w:lang w:eastAsia="en-US"/>
        </w:rPr>
        <w:t>or</w:t>
      </w:r>
      <w:r w:rsidRPr="00BC15C3">
        <w:rPr>
          <w:rFonts w:ascii="Times New Roman" w:hAnsi="Times New Roman" w:eastAsia="DengXian"/>
          <w:sz w:val="20"/>
          <w:szCs w:val="20"/>
          <w:lang w:eastAsia="en-US"/>
        </w:rPr>
        <w:t xml:space="preserve"> a limited offer under Article 8 of the Rules on the Offer of Securities and Continuing Obligations.</w:t>
      </w:r>
    </w:p>
    <w:p w:rsidRPr="00BC15C3" w:rsidR="009C5DDE" w:rsidP="00BC15C3" w:rsidRDefault="009C5DDE" w14:paraId="239FA8A3" w14:textId="77777777">
      <w:pPr>
        <w:spacing w:after="140" w:line="288" w:lineRule="auto"/>
        <w:ind w:left="567"/>
        <w:rPr>
          <w:rFonts w:ascii="Times New Roman" w:hAnsi="Times New Roman" w:eastAsia="DengXian"/>
          <w:sz w:val="20"/>
          <w:szCs w:val="20"/>
          <w:lang w:eastAsia="en-US"/>
        </w:rPr>
      </w:pPr>
      <w:r w:rsidRPr="00BC15C3">
        <w:rPr>
          <w:rFonts w:ascii="Times New Roman" w:hAnsi="Times New Roman" w:eastAsia="DengXian"/>
          <w:sz w:val="20"/>
          <w:szCs w:val="20"/>
          <w:lang w:eastAsia="en-US"/>
        </w:rPr>
        <w:t>The offer of securities is therefore exempt from the public offer requirements of the Rules on the Offer of Securities and Continuing Obligations, but is subject to the following restrictions on secondary market activity pursuant to Article 14 of the Rules on the Offer of Securities and Continuing Obligations:</w:t>
      </w:r>
    </w:p>
    <w:p w:rsidRPr="00BC15C3" w:rsidR="009C5DDE" w:rsidP="00BC15C3" w:rsidRDefault="00BC15C3" w14:paraId="3F152DC9" w14:textId="76A37EAD">
      <w:pPr>
        <w:spacing w:after="140" w:line="288" w:lineRule="auto"/>
        <w:ind w:left="1134" w:hanging="567"/>
        <w:rPr>
          <w:rFonts w:ascii="Times New Roman" w:hAnsi="Times New Roman" w:eastAsia="DengXian"/>
          <w:sz w:val="20"/>
          <w:szCs w:val="20"/>
          <w:lang w:eastAsia="en-US"/>
        </w:rPr>
      </w:pPr>
      <w:r>
        <w:rPr>
          <w:rFonts w:ascii="Times New Roman" w:hAnsi="Times New Roman" w:eastAsia="DengXian"/>
          <w:sz w:val="20"/>
          <w:szCs w:val="20"/>
          <w:lang w:eastAsia="en-US"/>
        </w:rPr>
        <w:t>(a)</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an Investor (referred to as a "</w:t>
      </w:r>
      <w:r w:rsidRPr="00BC15C3" w:rsidR="009C5DDE">
        <w:rPr>
          <w:rFonts w:ascii="Times New Roman" w:hAnsi="Times New Roman" w:eastAsia="DengXian"/>
          <w:b/>
          <w:bCs/>
          <w:sz w:val="20"/>
          <w:szCs w:val="20"/>
          <w:lang w:eastAsia="en-US"/>
        </w:rPr>
        <w:t>transferor</w:t>
      </w:r>
      <w:r w:rsidRPr="00BC15C3" w:rsidR="009C5DDE">
        <w:rPr>
          <w:rFonts w:ascii="Times New Roman" w:hAnsi="Times New Roman" w:eastAsia="DengXian"/>
          <w:sz w:val="20"/>
          <w:szCs w:val="20"/>
          <w:lang w:eastAsia="en-US"/>
        </w:rPr>
        <w:t>") who has acquired securities pursuant to a private placement may not offer or sell such securities to any person (referred to as a "</w:t>
      </w:r>
      <w:r w:rsidRPr="00BC15C3" w:rsidR="009C5DDE">
        <w:rPr>
          <w:rFonts w:ascii="Times New Roman" w:hAnsi="Times New Roman" w:eastAsia="DengXian"/>
          <w:b/>
          <w:bCs/>
          <w:sz w:val="20"/>
          <w:szCs w:val="20"/>
          <w:lang w:eastAsia="en-US"/>
        </w:rPr>
        <w:t>transferee</w:t>
      </w:r>
      <w:r w:rsidRPr="00BC15C3" w:rsidR="009C5DDE">
        <w:rPr>
          <w:rFonts w:ascii="Times New Roman" w:hAnsi="Times New Roman" w:eastAsia="DengXian"/>
          <w:sz w:val="20"/>
          <w:szCs w:val="20"/>
          <w:lang w:eastAsia="en-US"/>
        </w:rPr>
        <w:t>") unless the offer or sale is made through a capital market institution where one of the following requirements is met:</w:t>
      </w:r>
    </w:p>
    <w:p w:rsidRPr="00BC15C3" w:rsidR="009C5DDE" w:rsidP="00BC15C3" w:rsidRDefault="00BC15C3" w14:paraId="2A8A572E" w14:textId="74BA91B9">
      <w:pPr>
        <w:spacing w:after="140" w:line="288" w:lineRule="auto"/>
        <w:ind w:left="1701" w:hanging="567"/>
        <w:rPr>
          <w:rFonts w:ascii="Times New Roman" w:hAnsi="Times New Roman" w:eastAsia="DengXian"/>
          <w:sz w:val="20"/>
          <w:szCs w:val="20"/>
          <w:lang w:eastAsia="en-US"/>
        </w:rPr>
      </w:pPr>
      <w:r>
        <w:rPr>
          <w:rFonts w:ascii="Times New Roman" w:hAnsi="Times New Roman" w:eastAsia="DengXian"/>
          <w:sz w:val="20"/>
          <w:szCs w:val="20"/>
          <w:lang w:eastAsia="en-US"/>
        </w:rPr>
        <w:t>(i)</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the price to be paid for the securities in any one transaction is equal to or does not exceed two hundred thousand Saudi Riyals or an equivalent amount;</w:t>
      </w:r>
    </w:p>
    <w:p w:rsidRPr="00BC15C3" w:rsidR="009C5DDE" w:rsidP="00BC15C3" w:rsidRDefault="00BC15C3" w14:paraId="183F4D6A" w14:textId="0A30C1BF">
      <w:pPr>
        <w:spacing w:after="140" w:line="288" w:lineRule="auto"/>
        <w:ind w:left="1647" w:hanging="513"/>
        <w:rPr>
          <w:rFonts w:ascii="Times New Roman" w:hAnsi="Times New Roman" w:eastAsia="DengXian"/>
          <w:sz w:val="20"/>
          <w:szCs w:val="20"/>
          <w:lang w:eastAsia="en-US"/>
        </w:rPr>
      </w:pPr>
      <w:r>
        <w:rPr>
          <w:rFonts w:ascii="Times New Roman" w:hAnsi="Times New Roman" w:eastAsia="DengXian"/>
          <w:sz w:val="20"/>
          <w:szCs w:val="20"/>
          <w:lang w:eastAsia="en-US"/>
        </w:rPr>
        <w:t>(ii)</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the securities are offered or sold to an investor who qualifies under the categories of Institutional or Qualified Client; or</w:t>
      </w:r>
    </w:p>
    <w:p w:rsidRPr="00BC15C3" w:rsidR="009C5DDE" w:rsidP="00BC15C3" w:rsidRDefault="00BC15C3" w14:paraId="4F899CD8" w14:textId="129F2D50">
      <w:pPr>
        <w:spacing w:after="140" w:line="288" w:lineRule="auto"/>
        <w:ind w:left="1647" w:hanging="513"/>
        <w:rPr>
          <w:rFonts w:ascii="Times New Roman" w:hAnsi="Times New Roman" w:eastAsia="DengXian"/>
          <w:sz w:val="20"/>
          <w:szCs w:val="20"/>
          <w:lang w:eastAsia="en-US"/>
        </w:rPr>
      </w:pPr>
      <w:r>
        <w:rPr>
          <w:rFonts w:ascii="Times New Roman" w:hAnsi="Times New Roman" w:eastAsia="DengXian"/>
          <w:sz w:val="20"/>
          <w:szCs w:val="20"/>
          <w:lang w:eastAsia="en-US"/>
        </w:rPr>
        <w:t>(iii)</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the securities are being offered or sold in such other circumstances as the CMA may prescribe for these purposes;</w:t>
      </w:r>
    </w:p>
    <w:p w:rsidRPr="00BC15C3" w:rsidR="009C5DDE" w:rsidP="00BC15C3" w:rsidRDefault="00BC15C3" w14:paraId="6D52F34A" w14:textId="79F37F90">
      <w:pPr>
        <w:spacing w:after="140" w:line="288" w:lineRule="auto"/>
        <w:ind w:left="1134" w:hanging="567"/>
        <w:rPr>
          <w:rFonts w:ascii="Times New Roman" w:hAnsi="Times New Roman" w:eastAsia="DengXian"/>
          <w:sz w:val="20"/>
          <w:szCs w:val="20"/>
          <w:lang w:eastAsia="en-US"/>
        </w:rPr>
      </w:pPr>
      <w:r>
        <w:rPr>
          <w:rFonts w:ascii="Times New Roman" w:hAnsi="Times New Roman" w:eastAsia="DengXian"/>
          <w:sz w:val="20"/>
          <w:szCs w:val="20"/>
          <w:lang w:eastAsia="en-US"/>
        </w:rPr>
        <w:t>(b)</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if the requirement of paragraph (</w:t>
      </w:r>
      <w:r>
        <w:rPr>
          <w:rFonts w:ascii="Times New Roman" w:hAnsi="Times New Roman" w:eastAsia="DengXian"/>
          <w:sz w:val="20"/>
          <w:szCs w:val="20"/>
          <w:lang w:eastAsia="en-US"/>
        </w:rPr>
        <w:t>a</w:t>
      </w:r>
      <w:r w:rsidRPr="00BC15C3" w:rsidR="009C5DDE">
        <w:rPr>
          <w:rFonts w:ascii="Times New Roman" w:hAnsi="Times New Roman" w:eastAsia="DengXian"/>
          <w:sz w:val="20"/>
          <w:szCs w:val="20"/>
          <w:lang w:eastAsia="en-US"/>
        </w:rPr>
        <w:t>)(i) above cannot be fulfilled because the price of the securities being offered or sold to the transferee has increased since the date of the original private placement, the transferor may offer or sell the securities to the transferee if their purchase price during the period of the original private placement does not exceed two hundred thousand Saudi Riyals or an equivalent amount;</w:t>
      </w:r>
    </w:p>
    <w:p w:rsidRPr="00BC15C3" w:rsidR="009C5DDE" w:rsidP="00BC15C3" w:rsidRDefault="00BC15C3" w14:paraId="224C6282" w14:textId="0CD663AF">
      <w:pPr>
        <w:spacing w:after="140" w:line="288" w:lineRule="auto"/>
        <w:ind w:left="1134" w:hanging="567"/>
        <w:rPr>
          <w:rFonts w:ascii="Times New Roman" w:hAnsi="Times New Roman" w:eastAsia="DengXian"/>
          <w:sz w:val="20"/>
          <w:szCs w:val="20"/>
          <w:lang w:eastAsia="en-US"/>
        </w:rPr>
      </w:pPr>
      <w:r>
        <w:rPr>
          <w:rFonts w:ascii="Times New Roman" w:hAnsi="Times New Roman" w:eastAsia="DengXian"/>
          <w:sz w:val="20"/>
          <w:szCs w:val="20"/>
          <w:lang w:eastAsia="en-US"/>
        </w:rPr>
        <w:t>(c)</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if the requirement in paragraph (</w:t>
      </w:r>
      <w:r>
        <w:rPr>
          <w:rFonts w:ascii="Times New Roman" w:hAnsi="Times New Roman" w:eastAsia="DengXian"/>
          <w:sz w:val="20"/>
          <w:szCs w:val="20"/>
          <w:lang w:eastAsia="en-US"/>
        </w:rPr>
        <w:t>b</w:t>
      </w:r>
      <w:r w:rsidRPr="00BC15C3" w:rsidR="009C5DDE">
        <w:rPr>
          <w:rFonts w:ascii="Times New Roman" w:hAnsi="Times New Roman" w:eastAsia="DengXian"/>
          <w:sz w:val="20"/>
          <w:szCs w:val="20"/>
          <w:lang w:eastAsia="en-US"/>
        </w:rPr>
        <w:t>) above cannot be fulfilled, the transferor may offer or sell securities if he/she sells his/her entire holding of such securities to one transferee; and</w:t>
      </w:r>
    </w:p>
    <w:p w:rsidRPr="00BC15C3" w:rsidR="009C5DDE" w:rsidP="00BC15C3" w:rsidRDefault="00BC15C3" w14:paraId="676BDC2E" w14:textId="33C12EA2">
      <w:pPr>
        <w:spacing w:after="140" w:line="288" w:lineRule="auto"/>
        <w:ind w:left="1134" w:hanging="567"/>
        <w:rPr>
          <w:rFonts w:ascii="Times New Roman" w:hAnsi="Times New Roman" w:eastAsia="DengXian"/>
          <w:sz w:val="20"/>
          <w:szCs w:val="20"/>
          <w:lang w:eastAsia="en-US"/>
        </w:rPr>
      </w:pPr>
      <w:r>
        <w:rPr>
          <w:rFonts w:ascii="Times New Roman" w:hAnsi="Times New Roman" w:eastAsia="DengXian"/>
          <w:sz w:val="20"/>
          <w:szCs w:val="20"/>
          <w:lang w:eastAsia="en-US"/>
        </w:rPr>
        <w:t>(d)</w:t>
      </w:r>
      <w:r>
        <w:rPr>
          <w:rFonts w:ascii="Times New Roman" w:hAnsi="Times New Roman" w:eastAsia="DengXian"/>
          <w:sz w:val="20"/>
          <w:szCs w:val="20"/>
          <w:lang w:eastAsia="en-US"/>
        </w:rPr>
        <w:tab/>
      </w:r>
      <w:r w:rsidRPr="00BC15C3" w:rsidR="009C5DDE">
        <w:rPr>
          <w:rFonts w:ascii="Times New Roman" w:hAnsi="Times New Roman" w:eastAsia="DengXian"/>
          <w:sz w:val="20"/>
          <w:szCs w:val="20"/>
          <w:lang w:eastAsia="en-US"/>
        </w:rPr>
        <w:t>the provisions of paragraphs (</w:t>
      </w:r>
      <w:r>
        <w:rPr>
          <w:rFonts w:ascii="Times New Roman" w:hAnsi="Times New Roman" w:eastAsia="DengXian"/>
          <w:sz w:val="20"/>
          <w:szCs w:val="20"/>
          <w:lang w:eastAsia="en-US"/>
        </w:rPr>
        <w:t>a</w:t>
      </w:r>
      <w:r w:rsidRPr="00BC15C3" w:rsidR="009C5DDE">
        <w:rPr>
          <w:rFonts w:ascii="Times New Roman" w:hAnsi="Times New Roman" w:eastAsia="DengXian"/>
          <w:sz w:val="20"/>
          <w:szCs w:val="20"/>
          <w:lang w:eastAsia="en-US"/>
        </w:rPr>
        <w:t>), (</w:t>
      </w:r>
      <w:r>
        <w:rPr>
          <w:rFonts w:ascii="Times New Roman" w:hAnsi="Times New Roman" w:eastAsia="DengXian"/>
          <w:sz w:val="20"/>
          <w:szCs w:val="20"/>
          <w:lang w:eastAsia="en-US"/>
        </w:rPr>
        <w:t>b</w:t>
      </w:r>
      <w:r w:rsidRPr="00BC15C3" w:rsidR="009C5DDE">
        <w:rPr>
          <w:rFonts w:ascii="Times New Roman" w:hAnsi="Times New Roman" w:eastAsia="DengXian"/>
          <w:sz w:val="20"/>
          <w:szCs w:val="20"/>
          <w:lang w:eastAsia="en-US"/>
        </w:rPr>
        <w:t>) and (</w:t>
      </w:r>
      <w:r>
        <w:rPr>
          <w:rFonts w:ascii="Times New Roman" w:hAnsi="Times New Roman" w:eastAsia="DengXian"/>
          <w:sz w:val="20"/>
          <w:szCs w:val="20"/>
          <w:lang w:eastAsia="en-US"/>
        </w:rPr>
        <w:t>c</w:t>
      </w:r>
      <w:r w:rsidRPr="00BC15C3" w:rsidR="009C5DDE">
        <w:rPr>
          <w:rFonts w:ascii="Times New Roman" w:hAnsi="Times New Roman" w:eastAsia="DengXian"/>
          <w:sz w:val="20"/>
          <w:szCs w:val="20"/>
          <w:lang w:eastAsia="en-US"/>
        </w:rPr>
        <w:t>) above shall apply to all subsequent transferees of such securities</w:t>
      </w:r>
    </w:p>
    <w:p w:rsidRPr="00BC15C3" w:rsidR="00BC15C3" w:rsidP="00BC15C3" w:rsidRDefault="009C5DDE" w14:paraId="233BD14E" w14:textId="77777777">
      <w:pPr>
        <w:spacing w:line="240" w:lineRule="auto"/>
        <w:ind w:left="567"/>
        <w:rPr>
          <w:rFonts w:ascii="Times New Roman" w:hAnsi="Times New Roman" w:eastAsia="DengXian"/>
          <w:sz w:val="20"/>
          <w:szCs w:val="20"/>
          <w:lang w:eastAsia="en-US"/>
        </w:rPr>
      </w:pPr>
      <w:r w:rsidRPr="00BC15C3">
        <w:rPr>
          <w:rFonts w:ascii="Times New Roman" w:hAnsi="Times New Roman" w:eastAsia="DengXian"/>
          <w:sz w:val="20"/>
          <w:szCs w:val="20"/>
          <w:lang w:eastAsia="en-US"/>
        </w:rPr>
        <w:t>The restrictions mentioned above shall cease to apply upon approval of listing on the Exchange of securities of the same class as the securities that are subject to such restrictions.</w:t>
      </w:r>
    </w:p>
    <w:p w:rsidRPr="00BC15C3" w:rsidR="00BC15C3" w:rsidP="00BC15C3" w:rsidRDefault="00BC15C3" w14:paraId="552EBF86" w14:textId="77777777">
      <w:pPr>
        <w:spacing w:line="240" w:lineRule="auto"/>
        <w:ind w:left="567"/>
        <w:rPr>
          <w:rFonts w:ascii="Times New Roman" w:hAnsi="Times New Roman" w:eastAsia="DengXian"/>
          <w:sz w:val="20"/>
          <w:szCs w:val="20"/>
          <w:lang w:eastAsia="en-US"/>
        </w:rPr>
      </w:pPr>
    </w:p>
    <w:p w:rsidRPr="00BC15C3" w:rsidR="00E61C98" w:rsidP="00BC15C3" w:rsidRDefault="00BC15C3" w14:paraId="58FCB6A2" w14:textId="4E9ED386">
      <w:pPr>
        <w:spacing w:line="240" w:lineRule="auto"/>
        <w:ind w:left="567"/>
        <w:rPr>
          <w:b/>
          <w:sz w:val="20"/>
          <w:szCs w:val="20"/>
        </w:rPr>
      </w:pPr>
      <w:r w:rsidRPr="00BC15C3">
        <w:rPr>
          <w:rFonts w:ascii="Times New Roman" w:hAnsi="Times New Roman" w:eastAsia="DengXian"/>
          <w:sz w:val="20"/>
          <w:szCs w:val="20"/>
          <w:lang w:eastAsia="en-US"/>
        </w:rPr>
        <w:t>If the relevant Pricing Supplement specifies that "Saudi Arabia LEPW Provisions" are applicable, prospective purchasers of the Securities offered hereby should also consider the relevant provisions in the sections entitled "Risk Factors", "Annex 6 – Low Exercise Price Warrant Provisions" and "Purchaser Representations and Requirements and Transfer Restrictions - Saudi Arabia LEPW Investor Agreement Letter".</w:t>
      </w:r>
      <w:r w:rsidRPr="00BC15C3" w:rsidR="009C5DDE">
        <w:rPr>
          <w:rFonts w:ascii="Times New Roman" w:hAnsi="Times New Roman" w:eastAsia="DengXian"/>
          <w:sz w:val="20"/>
          <w:szCs w:val="20"/>
          <w:lang w:eastAsia="en-US"/>
        </w:rPr>
        <w:t>"</w:t>
      </w:r>
    </w:p>
    <w:p w:rsidRPr="00BC15C3" w:rsidR="00E61C98" w:rsidP="001A450B" w:rsidRDefault="00E61C98" w14:paraId="60F9AF67" w14:textId="77777777">
      <w:pPr>
        <w:pStyle w:val="NormalAshurst"/>
        <w:ind w:left="567"/>
        <w:rPr>
          <w:b/>
          <w:sz w:val="20"/>
          <w:szCs w:val="20"/>
        </w:rPr>
        <w:sectPr w:rsidRPr="00BC15C3" w:rsidR="00E61C98" w:rsidSect="0076470E">
          <w:pgSz w:w="11907" w:h="16840" w:code="9"/>
          <w:pgMar w:top="1440" w:right="1440" w:bottom="1440" w:left="1440" w:header="720" w:footer="720" w:gutter="0"/>
          <w:cols w:space="720"/>
          <w:docGrid w:linePitch="245"/>
        </w:sectPr>
      </w:pPr>
    </w:p>
    <w:p w:rsidRPr="00C62F6E" w:rsidR="00E330F5" w:rsidP="00BC417C" w:rsidRDefault="0090499F" w14:paraId="3DF7A23B" w14:textId="77777777">
      <w:pPr>
        <w:pStyle w:val="NormalOCAshurst"/>
        <w:rPr>
          <w:rFonts w:eastAsia="Microsoft JhengHei"/>
          <w:bCs/>
          <w:iCs/>
        </w:rPr>
      </w:pPr>
      <w:r w:rsidRPr="00C62F6E">
        <w:rPr>
          <w:b/>
        </w:rPr>
        <w:lastRenderedPageBreak/>
        <w:t>General</w:t>
      </w:r>
    </w:p>
    <w:p w:rsidRPr="00D861A3" w:rsidR="009C516A" w:rsidP="009C516A" w:rsidRDefault="009C516A" w14:paraId="71CB3A6E" w14:textId="77777777">
      <w:pPr>
        <w:pStyle w:val="NormalAshurst"/>
        <w:spacing w:line="288" w:lineRule="auto"/>
        <w:rPr>
          <w:rFonts w:ascii="Times New Roman" w:hAnsi="Times New Roman"/>
          <w:sz w:val="20"/>
        </w:rPr>
      </w:pPr>
      <w:r w:rsidRPr="00D861A3">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Pr="00D861A3" w:rsidR="009C516A" w:rsidP="009C516A" w:rsidRDefault="009C516A" w14:paraId="1C8D72AB" w14:textId="4C4EB891">
      <w:pPr>
        <w:pStyle w:val="NormalAshurst"/>
        <w:spacing w:line="288" w:lineRule="auto"/>
        <w:rPr>
          <w:rFonts w:ascii="Times New Roman" w:hAnsi="Times New Roman"/>
          <w:sz w:val="20"/>
        </w:rPr>
      </w:pPr>
      <w:r w:rsidRPr="00D861A3">
        <w:rPr>
          <w:rFonts w:ascii="Times New Roman" w:hAnsi="Times New Roman"/>
          <w:sz w:val="20"/>
        </w:rPr>
        <w:t>Investors who have not previously reviewed the information contained in the document incorporated by reference above should do so in connection with their evaluation of the Securities.</w:t>
      </w:r>
    </w:p>
    <w:p w:rsidRPr="00D861A3" w:rsidR="009C516A" w:rsidP="009C516A" w:rsidRDefault="009C516A" w14:paraId="7974C264" w14:textId="0390C710">
      <w:pPr>
        <w:pStyle w:val="NormalAshurst"/>
        <w:spacing w:line="288" w:lineRule="auto"/>
        <w:rPr>
          <w:rFonts w:ascii="Times New Roman" w:hAnsi="Times New Roman" w:cs="Times New Roman"/>
          <w:sz w:val="20"/>
        </w:rPr>
      </w:pPr>
      <w:r w:rsidRPr="00D861A3">
        <w:rPr>
          <w:rFonts w:ascii="Times New Roman" w:hAnsi="Times New Roman" w:cs="Times New Roman"/>
          <w:sz w:val="20"/>
        </w:rPr>
        <w:t xml:space="preserve">This Supplement and the document incorporated by reference into it will be published on the Luxembourg Stock Exchange's website at </w:t>
      </w:r>
      <w:r w:rsidRPr="00D861A3">
        <w:rPr>
          <w:rFonts w:ascii="Times New Roman" w:hAnsi="Times New Roman" w:cs="Times New Roman"/>
          <w:i/>
          <w:iCs/>
          <w:sz w:val="20"/>
        </w:rPr>
        <w:t>www.luxse.com</w:t>
      </w:r>
      <w:r w:rsidRPr="00D861A3">
        <w:rPr>
          <w:rFonts w:ascii="Times New Roman" w:hAnsi="Times New Roman" w:cs="Times New Roman"/>
          <w:sz w:val="20"/>
        </w:rPr>
        <w:t>. In addition, any person receiving a copy of this Supplement may obtain, without charge, upon written or oral request, copies of the document incorporated by reference herein. Copies of the document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EC4V 4LA, United Kingdom), the office of the Paying Agent in Luxembourg (The Bank of New York Mellon S.A./N.V., Luxembourg Branch, Vertigo Building – Polaris, 2-4 rue Eugène Ruppert, L-2453 Luxembourg) and the office of the Irish Listing Agent (Matheson LLP, 70 Sir John Rogerson's Quay, Dublin 2, Ireland).</w:t>
      </w:r>
    </w:p>
    <w:p w:rsidRPr="00D861A3" w:rsidR="009C516A" w:rsidP="009C516A" w:rsidRDefault="009C516A" w14:paraId="0F525FFB" w14:textId="64316F3A">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 incorporated by reference into and contained in it will be available free of charge during normal business hours at the offices of UBS AG, attn. Documentation &amp; Issuance Services, VTPD 5, P.O. Box, 8070 Zürich, Switzerland.</w:t>
      </w:r>
    </w:p>
    <w:p w:rsidR="009C516A" w:rsidP="009C516A" w:rsidRDefault="009C516A" w14:paraId="06F01711" w14:textId="5784E9AC">
      <w:pPr>
        <w:pStyle w:val="NormalAshurst"/>
        <w:spacing w:line="288" w:lineRule="auto"/>
        <w:rPr>
          <w:b/>
          <w:bCs/>
          <w:lang w:val="en-US"/>
        </w:rPr>
      </w:pPr>
      <w:r w:rsidRPr="00D861A3">
        <w:rPr>
          <w:rFonts w:ascii="Times New Roman" w:hAnsi="Times New Roman"/>
          <w:sz w:val="20"/>
        </w:rPr>
        <w:t>By virtue of this Supplement, the document incorporated by reference and contained in this Supplement form a part of the Offering Circular.</w:t>
      </w:r>
    </w:p>
    <w:sectPr w:rsidR="009C516A"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025B" w:rsidRDefault="0048025B" w14:paraId="16C784F8" w14:textId="77777777">
      <w:pPr>
        <w:spacing w:line="240" w:lineRule="auto"/>
      </w:pPr>
      <w:r>
        <w:separator/>
      </w:r>
    </w:p>
  </w:endnote>
  <w:endnote w:type="continuationSeparator" w:id="0">
    <w:p w:rsidR="0048025B" w:rsidRDefault="0048025B" w14:paraId="10AC82BF"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095" w:rsidRDefault="002D5095" w14:paraId="17F41C1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095" w:rsidRDefault="002D5095" w14:paraId="0EB82198"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72A4D44D">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781A5E13">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025B" w:rsidRDefault="0048025B" w14:paraId="797AA063" w14:textId="77777777">
      <w:pPr>
        <w:spacing w:line="240" w:lineRule="auto"/>
      </w:pPr>
      <w:r>
        <w:separator/>
      </w:r>
    </w:p>
  </w:footnote>
  <w:footnote w:type="continuationSeparator" w:id="0">
    <w:p w:rsidR="0048025B" w:rsidRDefault="0048025B" w14:paraId="5E44E4EA"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095" w:rsidRDefault="002D5095" w14:paraId="25C4B6D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095" w:rsidRDefault="002D5095" w14:paraId="41AE5D0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095" w:rsidRDefault="002D5095" w14:paraId="52DB1AD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7D320E"/>
    <w:multiLevelType w:val="multilevel"/>
    <w:tmpl w:val="0809001D"/>
    <w:name w:val="AltBH1-8OC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4166372"/>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45E4AD4"/>
    <w:multiLevelType w:val="multilevel"/>
    <w:tmpl w:val="ED22CB7C"/>
    <w:name w:val="NewTableNumOC"/>
    <w:lvl w:ilvl="0">
      <w:start w:val="1"/>
      <w:numFmt w:val="lowerLetter"/>
      <w:pStyle w:val="OCTable1Ashurst"/>
      <w:lvlText w:val="(%1)"/>
      <w:lvlJc w:val="left"/>
      <w:pPr>
        <w:tabs>
          <w:tab w:val="num" w:pos="226"/>
        </w:tabs>
        <w:ind w:left="226" w:hanging="709"/>
      </w:pPr>
      <w:rPr>
        <w:rFonts w:hint="default"/>
      </w:rPr>
    </w:lvl>
    <w:lvl w:ilvl="1">
      <w:start w:val="1"/>
      <w:numFmt w:val="lowerRoman"/>
      <w:pStyle w:val="OCTable2Ashurst"/>
      <w:lvlText w:val="(%2)"/>
      <w:lvlJc w:val="left"/>
      <w:pPr>
        <w:tabs>
          <w:tab w:val="num" w:pos="793"/>
        </w:tabs>
        <w:ind w:left="793" w:hanging="567"/>
      </w:pPr>
      <w:rPr>
        <w:rFonts w:hint="default"/>
      </w:rPr>
    </w:lvl>
    <w:lvl w:ilvl="2">
      <w:start w:val="1"/>
      <w:numFmt w:val="upperLetter"/>
      <w:pStyle w:val="OCTable3Ashurst"/>
      <w:lvlText w:val="(%3)"/>
      <w:lvlJc w:val="left"/>
      <w:pPr>
        <w:tabs>
          <w:tab w:val="num" w:pos="1360"/>
        </w:tabs>
        <w:ind w:left="1360" w:hanging="567"/>
      </w:pPr>
      <w:rPr>
        <w:rFonts w:hint="default"/>
      </w:rPr>
    </w:lvl>
    <w:lvl w:ilvl="3">
      <w:start w:val="1"/>
      <w:numFmt w:val="decimal"/>
      <w:pStyle w:val="OCTable4Ashurst"/>
      <w:lvlText w:val="(%4)"/>
      <w:lvlJc w:val="left"/>
      <w:pPr>
        <w:tabs>
          <w:tab w:val="num" w:pos="1927"/>
        </w:tabs>
        <w:ind w:left="1927" w:hanging="567"/>
      </w:pPr>
      <w:rPr>
        <w:rFonts w:hint="default"/>
      </w:rPr>
    </w:lvl>
    <w:lvl w:ilvl="4">
      <w:start w:val="1"/>
      <w:numFmt w:val="none"/>
      <w:lvlText w:val=""/>
      <w:lvlJc w:val="left"/>
      <w:pPr>
        <w:ind w:left="-483" w:firstLine="0"/>
      </w:pPr>
      <w:rPr>
        <w:rFonts w:hint="default"/>
      </w:rPr>
    </w:lvl>
    <w:lvl w:ilvl="5">
      <w:start w:val="1"/>
      <w:numFmt w:val="none"/>
      <w:lvlText w:val=""/>
      <w:lvlJc w:val="left"/>
      <w:pPr>
        <w:ind w:left="-483" w:firstLine="0"/>
      </w:pPr>
      <w:rPr>
        <w:rFonts w:hint="default"/>
      </w:rPr>
    </w:lvl>
    <w:lvl w:ilvl="6">
      <w:start w:val="1"/>
      <w:numFmt w:val="none"/>
      <w:lvlText w:val=""/>
      <w:lvlJc w:val="left"/>
      <w:pPr>
        <w:ind w:left="-483" w:firstLine="0"/>
      </w:pPr>
      <w:rPr>
        <w:rFonts w:hint="default"/>
      </w:rPr>
    </w:lvl>
    <w:lvl w:ilvl="7">
      <w:start w:val="1"/>
      <w:numFmt w:val="none"/>
      <w:lvlText w:val=""/>
      <w:lvlJc w:val="left"/>
      <w:pPr>
        <w:ind w:left="-483" w:firstLine="0"/>
      </w:pPr>
      <w:rPr>
        <w:rFonts w:hint="default"/>
      </w:rPr>
    </w:lvl>
    <w:lvl w:ilvl="8">
      <w:start w:val="1"/>
      <w:numFmt w:val="lowerRoman"/>
      <w:lvlText w:val="%9."/>
      <w:lvlJc w:val="left"/>
      <w:pPr>
        <w:ind w:left="32286" w:firstLine="0"/>
      </w:pPr>
      <w:rPr>
        <w:rFonts w:hint="default"/>
      </w:rPr>
    </w:lvl>
  </w:abstractNum>
  <w:abstractNum w:abstractNumId="14"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7"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05088"/>
    <w:multiLevelType w:val="multilevel"/>
    <w:tmpl w:val="B4246A9C"/>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4"/>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1" w15:restartNumberingAfterBreak="0">
    <w:nsid w:val="16933E9B"/>
    <w:multiLevelType w:val="hybridMultilevel"/>
    <w:tmpl w:val="0D92E928"/>
    <w:name w:val="WW8Num14"/>
    <w:lvl w:ilvl="0" w:tplc="F082394A">
      <w:start w:val="1"/>
      <w:numFmt w:val="lowerLetter"/>
      <w:lvlText w:val="(%1)"/>
      <w:lvlJc w:val="left"/>
      <w:pPr>
        <w:tabs>
          <w:tab w:val="num" w:pos="1406"/>
        </w:tabs>
        <w:ind w:left="1406"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F2040F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5"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7"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0"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21C220C"/>
    <w:multiLevelType w:val="hybridMultilevel"/>
    <w:tmpl w:val="45D8CD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8D04CFD"/>
    <w:multiLevelType w:val="hybridMultilevel"/>
    <w:tmpl w:val="16842D5C"/>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0"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1"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2"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4"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5"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6" w15:restartNumberingAfterBreak="0">
    <w:nsid w:val="4F7A4EB8"/>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9"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6"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C885D54"/>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6CEB4B8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16504C1"/>
    <w:multiLevelType w:val="singleLevel"/>
    <w:tmpl w:val="0D8E4CE0"/>
    <w:name w:val="AltH1OCAshurst"/>
    <w:lvl w:ilvl="0">
      <w:start w:val="1"/>
      <w:numFmt w:val="lowerLetter"/>
      <w:lvlText w:val="(%1)"/>
      <w:lvlJc w:val="left"/>
      <w:pPr>
        <w:ind w:left="720" w:hanging="360"/>
      </w:pPr>
      <w:rPr>
        <w:b w:val="0"/>
        <w:i w:val="0"/>
        <w:caps w:val="0"/>
      </w:rPr>
    </w:lvl>
  </w:abstractNum>
  <w:abstractNum w:abstractNumId="63" w15:restartNumberingAfterBreak="0">
    <w:nsid w:val="71AF1EE5"/>
    <w:multiLevelType w:val="multilevel"/>
    <w:tmpl w:val="0809001D"/>
    <w:name w:val="AltBH1-8OC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6"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7"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8"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4"/>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8"/>
  </w:num>
  <w:num w:numId="13" w16cid:durableId="126899731">
    <w:abstractNumId w:val="54"/>
  </w:num>
  <w:num w:numId="14" w16cid:durableId="1747413118">
    <w:abstractNumId w:val="18"/>
  </w:num>
  <w:num w:numId="15" w16cid:durableId="1256985789">
    <w:abstractNumId w:val="16"/>
  </w:num>
  <w:num w:numId="16" w16cid:durableId="795831953">
    <w:abstractNumId w:val="29"/>
  </w:num>
  <w:num w:numId="17" w16cid:durableId="2134977556">
    <w:abstractNumId w:val="39"/>
  </w:num>
  <w:num w:numId="18" w16cid:durableId="1349336006">
    <w:abstractNumId w:val="66"/>
  </w:num>
  <w:num w:numId="19" w16cid:durableId="786317279">
    <w:abstractNumId w:val="40"/>
  </w:num>
  <w:num w:numId="20" w16cid:durableId="1910840975">
    <w:abstractNumId w:val="19"/>
  </w:num>
  <w:num w:numId="21" w16cid:durableId="350843328">
    <w:abstractNumId w:val="14"/>
  </w:num>
  <w:num w:numId="22" w16cid:durableId="1495485233">
    <w:abstractNumId w:val="53"/>
  </w:num>
  <w:num w:numId="23" w16cid:durableId="359817122">
    <w:abstractNumId w:val="59"/>
  </w:num>
  <w:num w:numId="24" w16cid:durableId="572399986">
    <w:abstractNumId w:val="68"/>
  </w:num>
  <w:num w:numId="25" w16cid:durableId="1853370245">
    <w:abstractNumId w:val="47"/>
  </w:num>
  <w:num w:numId="26" w16cid:durableId="400446191">
    <w:abstractNumId w:val="11"/>
  </w:num>
  <w:num w:numId="27" w16cid:durableId="136384164">
    <w:abstractNumId w:val="50"/>
  </w:num>
  <w:num w:numId="28" w16cid:durableId="1062286480">
    <w:abstractNumId w:val="33"/>
  </w:num>
  <w:num w:numId="29" w16cid:durableId="1527333019">
    <w:abstractNumId w:val="55"/>
  </w:num>
  <w:num w:numId="30" w16cid:durableId="1934168413">
    <w:abstractNumId w:val="43"/>
  </w:num>
  <w:num w:numId="31" w16cid:durableId="1292253042">
    <w:abstractNumId w:val="67"/>
  </w:num>
  <w:num w:numId="32" w16cid:durableId="1833595360">
    <w:abstractNumId w:val="45"/>
  </w:num>
  <w:num w:numId="33" w16cid:durableId="277759277">
    <w:abstractNumId w:val="22"/>
  </w:num>
  <w:num w:numId="34" w16cid:durableId="826558374">
    <w:abstractNumId w:val="32"/>
  </w:num>
  <w:num w:numId="35" w16cid:durableId="1363090022">
    <w:abstractNumId w:val="20"/>
  </w:num>
  <w:num w:numId="36" w16cid:durableId="1574974770">
    <w:abstractNumId w:val="17"/>
  </w:num>
  <w:num w:numId="37" w16cid:durableId="1768035348">
    <w:abstractNumId w:val="41"/>
  </w:num>
  <w:num w:numId="38" w16cid:durableId="485173015">
    <w:abstractNumId w:val="65"/>
  </w:num>
  <w:num w:numId="39" w16cid:durableId="1821073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5"/>
  </w:num>
  <w:num w:numId="41" w16cid:durableId="737900372">
    <w:abstractNumId w:val="44"/>
  </w:num>
  <w:num w:numId="42" w16cid:durableId="1107654317">
    <w:abstractNumId w:val="13"/>
  </w:num>
  <w:num w:numId="43" w16cid:durableId="3613223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7062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5" w16cid:durableId="6281259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04062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71022">
    <w:abstractNumId w:val="20"/>
  </w:num>
  <w:num w:numId="48" w16cid:durableId="530800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5473146">
    <w:abstractNumId w:val="12"/>
  </w:num>
  <w:num w:numId="50" w16cid:durableId="676272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94904631">
    <w:abstractNumId w:val="23"/>
  </w:num>
  <w:num w:numId="52" w16cid:durableId="566841313">
    <w:abstractNumId w:val="21"/>
  </w:num>
  <w:num w:numId="53" w16cid:durableId="1778058951">
    <w:abstractNumId w:val="20"/>
  </w:num>
  <w:num w:numId="54" w16cid:durableId="928928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295394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358A"/>
    <w:rsid w:val="00005323"/>
    <w:rsid w:val="00006938"/>
    <w:rsid w:val="00007413"/>
    <w:rsid w:val="00013F0D"/>
    <w:rsid w:val="00015717"/>
    <w:rsid w:val="00016F5E"/>
    <w:rsid w:val="00017A0D"/>
    <w:rsid w:val="00020000"/>
    <w:rsid w:val="00023CE9"/>
    <w:rsid w:val="00032215"/>
    <w:rsid w:val="0003451E"/>
    <w:rsid w:val="00034F14"/>
    <w:rsid w:val="00035180"/>
    <w:rsid w:val="00040D6A"/>
    <w:rsid w:val="000441C9"/>
    <w:rsid w:val="000467E8"/>
    <w:rsid w:val="00047672"/>
    <w:rsid w:val="0005125E"/>
    <w:rsid w:val="00054A8D"/>
    <w:rsid w:val="00055014"/>
    <w:rsid w:val="00055295"/>
    <w:rsid w:val="0005548B"/>
    <w:rsid w:val="00057113"/>
    <w:rsid w:val="00060CE4"/>
    <w:rsid w:val="00061B12"/>
    <w:rsid w:val="00062171"/>
    <w:rsid w:val="0006230A"/>
    <w:rsid w:val="00063054"/>
    <w:rsid w:val="000640D4"/>
    <w:rsid w:val="00070911"/>
    <w:rsid w:val="00070C0E"/>
    <w:rsid w:val="0007122A"/>
    <w:rsid w:val="0007133E"/>
    <w:rsid w:val="0007172A"/>
    <w:rsid w:val="00071BF6"/>
    <w:rsid w:val="00075373"/>
    <w:rsid w:val="00077BBE"/>
    <w:rsid w:val="000871B4"/>
    <w:rsid w:val="00090A13"/>
    <w:rsid w:val="00092A37"/>
    <w:rsid w:val="00093C15"/>
    <w:rsid w:val="00095AC6"/>
    <w:rsid w:val="000A2995"/>
    <w:rsid w:val="000A33F5"/>
    <w:rsid w:val="000B02C4"/>
    <w:rsid w:val="000B4D61"/>
    <w:rsid w:val="000B69EE"/>
    <w:rsid w:val="000B767B"/>
    <w:rsid w:val="000C20FC"/>
    <w:rsid w:val="000C2CC9"/>
    <w:rsid w:val="000C3E28"/>
    <w:rsid w:val="000C521B"/>
    <w:rsid w:val="000D0C45"/>
    <w:rsid w:val="000D436B"/>
    <w:rsid w:val="000D5E00"/>
    <w:rsid w:val="000D792E"/>
    <w:rsid w:val="000E0630"/>
    <w:rsid w:val="000E1552"/>
    <w:rsid w:val="000E39F3"/>
    <w:rsid w:val="000E3D8D"/>
    <w:rsid w:val="000E4BFE"/>
    <w:rsid w:val="000F34E5"/>
    <w:rsid w:val="000F4761"/>
    <w:rsid w:val="000F6CE1"/>
    <w:rsid w:val="001064E6"/>
    <w:rsid w:val="00111806"/>
    <w:rsid w:val="00113828"/>
    <w:rsid w:val="00116C90"/>
    <w:rsid w:val="0012070D"/>
    <w:rsid w:val="0012198B"/>
    <w:rsid w:val="00122596"/>
    <w:rsid w:val="00123C82"/>
    <w:rsid w:val="00125818"/>
    <w:rsid w:val="00126E53"/>
    <w:rsid w:val="00126FF0"/>
    <w:rsid w:val="00133997"/>
    <w:rsid w:val="00134B80"/>
    <w:rsid w:val="00135E57"/>
    <w:rsid w:val="001410D1"/>
    <w:rsid w:val="0014156F"/>
    <w:rsid w:val="00141576"/>
    <w:rsid w:val="00142B29"/>
    <w:rsid w:val="00142B35"/>
    <w:rsid w:val="001559AE"/>
    <w:rsid w:val="00156180"/>
    <w:rsid w:val="00156D94"/>
    <w:rsid w:val="001628CC"/>
    <w:rsid w:val="001715BF"/>
    <w:rsid w:val="0017213E"/>
    <w:rsid w:val="001724BF"/>
    <w:rsid w:val="0017449C"/>
    <w:rsid w:val="001744E6"/>
    <w:rsid w:val="00177387"/>
    <w:rsid w:val="00183207"/>
    <w:rsid w:val="00183526"/>
    <w:rsid w:val="00183CCB"/>
    <w:rsid w:val="001846F7"/>
    <w:rsid w:val="00185C65"/>
    <w:rsid w:val="0018775C"/>
    <w:rsid w:val="00190BF1"/>
    <w:rsid w:val="0019234D"/>
    <w:rsid w:val="001957AF"/>
    <w:rsid w:val="001964CE"/>
    <w:rsid w:val="001969ED"/>
    <w:rsid w:val="00196A91"/>
    <w:rsid w:val="001A2242"/>
    <w:rsid w:val="001A450B"/>
    <w:rsid w:val="001A7703"/>
    <w:rsid w:val="001B09A9"/>
    <w:rsid w:val="001B15E8"/>
    <w:rsid w:val="001B1CE4"/>
    <w:rsid w:val="001B21A7"/>
    <w:rsid w:val="001B28CD"/>
    <w:rsid w:val="001B4D53"/>
    <w:rsid w:val="001B4DDE"/>
    <w:rsid w:val="001B5B24"/>
    <w:rsid w:val="001B7346"/>
    <w:rsid w:val="001C50BA"/>
    <w:rsid w:val="001C51D7"/>
    <w:rsid w:val="001C55F8"/>
    <w:rsid w:val="001C5A42"/>
    <w:rsid w:val="001D03C3"/>
    <w:rsid w:val="001D2322"/>
    <w:rsid w:val="001D2609"/>
    <w:rsid w:val="001D2CB0"/>
    <w:rsid w:val="001D3EE4"/>
    <w:rsid w:val="001D411D"/>
    <w:rsid w:val="001D4C14"/>
    <w:rsid w:val="001D4EF2"/>
    <w:rsid w:val="001D66F1"/>
    <w:rsid w:val="001D6A8F"/>
    <w:rsid w:val="001E0656"/>
    <w:rsid w:val="001E1D37"/>
    <w:rsid w:val="001E220F"/>
    <w:rsid w:val="001E538F"/>
    <w:rsid w:val="001F32C7"/>
    <w:rsid w:val="001F39E1"/>
    <w:rsid w:val="001F7F59"/>
    <w:rsid w:val="0020015C"/>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4112"/>
    <w:rsid w:val="00247483"/>
    <w:rsid w:val="00247E02"/>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4DE7"/>
    <w:rsid w:val="002A684B"/>
    <w:rsid w:val="002A7CD7"/>
    <w:rsid w:val="002B34C0"/>
    <w:rsid w:val="002C2B6E"/>
    <w:rsid w:val="002C5711"/>
    <w:rsid w:val="002C78CB"/>
    <w:rsid w:val="002D5095"/>
    <w:rsid w:val="002D7602"/>
    <w:rsid w:val="002E091C"/>
    <w:rsid w:val="002E7037"/>
    <w:rsid w:val="002F22A6"/>
    <w:rsid w:val="002F2EC0"/>
    <w:rsid w:val="002F4306"/>
    <w:rsid w:val="0030226D"/>
    <w:rsid w:val="00305E01"/>
    <w:rsid w:val="0030694F"/>
    <w:rsid w:val="00311CE5"/>
    <w:rsid w:val="00322C8B"/>
    <w:rsid w:val="00324E76"/>
    <w:rsid w:val="00325E23"/>
    <w:rsid w:val="00330CE5"/>
    <w:rsid w:val="00331F45"/>
    <w:rsid w:val="00333981"/>
    <w:rsid w:val="00334D72"/>
    <w:rsid w:val="00334FEB"/>
    <w:rsid w:val="00337993"/>
    <w:rsid w:val="00340BDA"/>
    <w:rsid w:val="00343AD4"/>
    <w:rsid w:val="0035647D"/>
    <w:rsid w:val="00360997"/>
    <w:rsid w:val="00364115"/>
    <w:rsid w:val="003641CA"/>
    <w:rsid w:val="00370C6C"/>
    <w:rsid w:val="00372149"/>
    <w:rsid w:val="003739AA"/>
    <w:rsid w:val="0038625B"/>
    <w:rsid w:val="00386397"/>
    <w:rsid w:val="003879AC"/>
    <w:rsid w:val="003923E7"/>
    <w:rsid w:val="00392AFB"/>
    <w:rsid w:val="00394E19"/>
    <w:rsid w:val="003A388E"/>
    <w:rsid w:val="003A4C08"/>
    <w:rsid w:val="003B1507"/>
    <w:rsid w:val="003B23A0"/>
    <w:rsid w:val="003B4B36"/>
    <w:rsid w:val="003B5B76"/>
    <w:rsid w:val="003B6512"/>
    <w:rsid w:val="003C1FD1"/>
    <w:rsid w:val="003C318B"/>
    <w:rsid w:val="003D05BD"/>
    <w:rsid w:val="003D0A13"/>
    <w:rsid w:val="003D42D2"/>
    <w:rsid w:val="003D7C2F"/>
    <w:rsid w:val="003E0B6E"/>
    <w:rsid w:val="003E22B8"/>
    <w:rsid w:val="003E5EB9"/>
    <w:rsid w:val="003E77DA"/>
    <w:rsid w:val="003F05E1"/>
    <w:rsid w:val="003F0836"/>
    <w:rsid w:val="003F0AA9"/>
    <w:rsid w:val="003F10EB"/>
    <w:rsid w:val="003F1726"/>
    <w:rsid w:val="003F3D4E"/>
    <w:rsid w:val="003F658E"/>
    <w:rsid w:val="003F724C"/>
    <w:rsid w:val="003F7CC8"/>
    <w:rsid w:val="00402E3A"/>
    <w:rsid w:val="00403DBB"/>
    <w:rsid w:val="00404780"/>
    <w:rsid w:val="0041051C"/>
    <w:rsid w:val="0041368F"/>
    <w:rsid w:val="00414900"/>
    <w:rsid w:val="00415B69"/>
    <w:rsid w:val="00425201"/>
    <w:rsid w:val="00426C49"/>
    <w:rsid w:val="00427B0B"/>
    <w:rsid w:val="00430AAD"/>
    <w:rsid w:val="004330E4"/>
    <w:rsid w:val="00433637"/>
    <w:rsid w:val="00433918"/>
    <w:rsid w:val="004423E5"/>
    <w:rsid w:val="0044680A"/>
    <w:rsid w:val="00446A24"/>
    <w:rsid w:val="0045051B"/>
    <w:rsid w:val="00451469"/>
    <w:rsid w:val="0045242F"/>
    <w:rsid w:val="004532C8"/>
    <w:rsid w:val="00453C0D"/>
    <w:rsid w:val="004544CA"/>
    <w:rsid w:val="00454A6C"/>
    <w:rsid w:val="00455278"/>
    <w:rsid w:val="004565DA"/>
    <w:rsid w:val="00471E6B"/>
    <w:rsid w:val="00475C5B"/>
    <w:rsid w:val="004767D9"/>
    <w:rsid w:val="00477642"/>
    <w:rsid w:val="0048025B"/>
    <w:rsid w:val="004804ED"/>
    <w:rsid w:val="004855C7"/>
    <w:rsid w:val="00485903"/>
    <w:rsid w:val="00485E25"/>
    <w:rsid w:val="0048668A"/>
    <w:rsid w:val="00490D71"/>
    <w:rsid w:val="004910A4"/>
    <w:rsid w:val="00491690"/>
    <w:rsid w:val="00493508"/>
    <w:rsid w:val="00494D8C"/>
    <w:rsid w:val="00497906"/>
    <w:rsid w:val="004A05FB"/>
    <w:rsid w:val="004A2016"/>
    <w:rsid w:val="004A6CBA"/>
    <w:rsid w:val="004A75EA"/>
    <w:rsid w:val="004A7691"/>
    <w:rsid w:val="004B23F4"/>
    <w:rsid w:val="004B2929"/>
    <w:rsid w:val="004B553E"/>
    <w:rsid w:val="004B653B"/>
    <w:rsid w:val="004C26C6"/>
    <w:rsid w:val="004C36C5"/>
    <w:rsid w:val="004C4862"/>
    <w:rsid w:val="004C73DA"/>
    <w:rsid w:val="004D4D38"/>
    <w:rsid w:val="004D6B3A"/>
    <w:rsid w:val="004E0AC6"/>
    <w:rsid w:val="004E2611"/>
    <w:rsid w:val="004E546A"/>
    <w:rsid w:val="004E5768"/>
    <w:rsid w:val="004E59BF"/>
    <w:rsid w:val="004E7CBA"/>
    <w:rsid w:val="004E7FB1"/>
    <w:rsid w:val="004F15EE"/>
    <w:rsid w:val="004F2755"/>
    <w:rsid w:val="00502DB2"/>
    <w:rsid w:val="00505C8E"/>
    <w:rsid w:val="00507236"/>
    <w:rsid w:val="005213E8"/>
    <w:rsid w:val="005229BE"/>
    <w:rsid w:val="0052627E"/>
    <w:rsid w:val="00527F4B"/>
    <w:rsid w:val="00533748"/>
    <w:rsid w:val="00537645"/>
    <w:rsid w:val="005403F0"/>
    <w:rsid w:val="0054351C"/>
    <w:rsid w:val="00543AB6"/>
    <w:rsid w:val="00543E20"/>
    <w:rsid w:val="00547544"/>
    <w:rsid w:val="005536F1"/>
    <w:rsid w:val="00553B42"/>
    <w:rsid w:val="00554CC9"/>
    <w:rsid w:val="00555529"/>
    <w:rsid w:val="00566162"/>
    <w:rsid w:val="00567519"/>
    <w:rsid w:val="00570B8C"/>
    <w:rsid w:val="0057297A"/>
    <w:rsid w:val="00574D15"/>
    <w:rsid w:val="005750C5"/>
    <w:rsid w:val="00580AF5"/>
    <w:rsid w:val="00580B44"/>
    <w:rsid w:val="00581329"/>
    <w:rsid w:val="005816A0"/>
    <w:rsid w:val="00583DF3"/>
    <w:rsid w:val="00585B42"/>
    <w:rsid w:val="0058638D"/>
    <w:rsid w:val="00587D55"/>
    <w:rsid w:val="0059068C"/>
    <w:rsid w:val="005937ED"/>
    <w:rsid w:val="005A1BFE"/>
    <w:rsid w:val="005A3536"/>
    <w:rsid w:val="005A422A"/>
    <w:rsid w:val="005A4C3B"/>
    <w:rsid w:val="005A5196"/>
    <w:rsid w:val="005A6660"/>
    <w:rsid w:val="005A6C1F"/>
    <w:rsid w:val="005A7CEA"/>
    <w:rsid w:val="005B13F2"/>
    <w:rsid w:val="005B3787"/>
    <w:rsid w:val="005B3BF6"/>
    <w:rsid w:val="005C0E44"/>
    <w:rsid w:val="005C4E33"/>
    <w:rsid w:val="005C6500"/>
    <w:rsid w:val="005C70BC"/>
    <w:rsid w:val="005D04F4"/>
    <w:rsid w:val="005D11DE"/>
    <w:rsid w:val="005D320F"/>
    <w:rsid w:val="005D487C"/>
    <w:rsid w:val="005D4A71"/>
    <w:rsid w:val="005D510C"/>
    <w:rsid w:val="005D6B68"/>
    <w:rsid w:val="005D701B"/>
    <w:rsid w:val="005D7527"/>
    <w:rsid w:val="005D76B5"/>
    <w:rsid w:val="005E1765"/>
    <w:rsid w:val="005E2920"/>
    <w:rsid w:val="005E3176"/>
    <w:rsid w:val="005E44EB"/>
    <w:rsid w:val="005E5744"/>
    <w:rsid w:val="005F122A"/>
    <w:rsid w:val="005F12C5"/>
    <w:rsid w:val="005F358A"/>
    <w:rsid w:val="005F4E23"/>
    <w:rsid w:val="005F5271"/>
    <w:rsid w:val="005F626B"/>
    <w:rsid w:val="005F6282"/>
    <w:rsid w:val="005F6648"/>
    <w:rsid w:val="005F7AE4"/>
    <w:rsid w:val="0060045C"/>
    <w:rsid w:val="00603A9E"/>
    <w:rsid w:val="006040DB"/>
    <w:rsid w:val="00604FBF"/>
    <w:rsid w:val="00606F84"/>
    <w:rsid w:val="006116D1"/>
    <w:rsid w:val="00622431"/>
    <w:rsid w:val="00622F07"/>
    <w:rsid w:val="00624410"/>
    <w:rsid w:val="00625C91"/>
    <w:rsid w:val="00632C70"/>
    <w:rsid w:val="00634374"/>
    <w:rsid w:val="00635A4A"/>
    <w:rsid w:val="006409DF"/>
    <w:rsid w:val="00642172"/>
    <w:rsid w:val="00645A48"/>
    <w:rsid w:val="00647738"/>
    <w:rsid w:val="00665440"/>
    <w:rsid w:val="00665FB0"/>
    <w:rsid w:val="0067045F"/>
    <w:rsid w:val="00671ADE"/>
    <w:rsid w:val="006722A9"/>
    <w:rsid w:val="00673E8C"/>
    <w:rsid w:val="006770F0"/>
    <w:rsid w:val="006851C5"/>
    <w:rsid w:val="00685DC3"/>
    <w:rsid w:val="00686068"/>
    <w:rsid w:val="00687AB6"/>
    <w:rsid w:val="00687D10"/>
    <w:rsid w:val="00690AB5"/>
    <w:rsid w:val="0069278B"/>
    <w:rsid w:val="00692D0A"/>
    <w:rsid w:val="00693A80"/>
    <w:rsid w:val="00694E22"/>
    <w:rsid w:val="006956AB"/>
    <w:rsid w:val="00695F3F"/>
    <w:rsid w:val="00696E5E"/>
    <w:rsid w:val="00697756"/>
    <w:rsid w:val="006A0136"/>
    <w:rsid w:val="006A15C5"/>
    <w:rsid w:val="006A2677"/>
    <w:rsid w:val="006A7A6B"/>
    <w:rsid w:val="006B0B8D"/>
    <w:rsid w:val="006B59B3"/>
    <w:rsid w:val="006B7768"/>
    <w:rsid w:val="006B7E2F"/>
    <w:rsid w:val="006C3318"/>
    <w:rsid w:val="006C5606"/>
    <w:rsid w:val="006C5BA1"/>
    <w:rsid w:val="006C6380"/>
    <w:rsid w:val="006D0897"/>
    <w:rsid w:val="006D0B4A"/>
    <w:rsid w:val="006D29C5"/>
    <w:rsid w:val="006D2FD3"/>
    <w:rsid w:val="006D3521"/>
    <w:rsid w:val="006D3AFF"/>
    <w:rsid w:val="006D764B"/>
    <w:rsid w:val="006F1EC8"/>
    <w:rsid w:val="006F572C"/>
    <w:rsid w:val="006F7E4E"/>
    <w:rsid w:val="00705660"/>
    <w:rsid w:val="0070626C"/>
    <w:rsid w:val="00707911"/>
    <w:rsid w:val="007131BA"/>
    <w:rsid w:val="00724E8C"/>
    <w:rsid w:val="00730118"/>
    <w:rsid w:val="0073394C"/>
    <w:rsid w:val="007356D3"/>
    <w:rsid w:val="0073642D"/>
    <w:rsid w:val="007368FD"/>
    <w:rsid w:val="00736970"/>
    <w:rsid w:val="00737DB2"/>
    <w:rsid w:val="0074137A"/>
    <w:rsid w:val="007504BE"/>
    <w:rsid w:val="00761046"/>
    <w:rsid w:val="007628ED"/>
    <w:rsid w:val="0076470E"/>
    <w:rsid w:val="00764755"/>
    <w:rsid w:val="00765247"/>
    <w:rsid w:val="0076571D"/>
    <w:rsid w:val="00766F39"/>
    <w:rsid w:val="007713F4"/>
    <w:rsid w:val="00772C30"/>
    <w:rsid w:val="00774F02"/>
    <w:rsid w:val="00775D4C"/>
    <w:rsid w:val="007779AD"/>
    <w:rsid w:val="00780A90"/>
    <w:rsid w:val="00784566"/>
    <w:rsid w:val="00790943"/>
    <w:rsid w:val="00791706"/>
    <w:rsid w:val="00791B07"/>
    <w:rsid w:val="00792DFA"/>
    <w:rsid w:val="00793F3B"/>
    <w:rsid w:val="00794484"/>
    <w:rsid w:val="00794AB3"/>
    <w:rsid w:val="00795A1C"/>
    <w:rsid w:val="007A17D7"/>
    <w:rsid w:val="007A19FA"/>
    <w:rsid w:val="007A3BD2"/>
    <w:rsid w:val="007A4167"/>
    <w:rsid w:val="007A42B5"/>
    <w:rsid w:val="007B2D96"/>
    <w:rsid w:val="007C093C"/>
    <w:rsid w:val="007C0B2B"/>
    <w:rsid w:val="007C3CBF"/>
    <w:rsid w:val="007C4155"/>
    <w:rsid w:val="007C5D73"/>
    <w:rsid w:val="007C649E"/>
    <w:rsid w:val="007D003A"/>
    <w:rsid w:val="007D4BAB"/>
    <w:rsid w:val="007D6218"/>
    <w:rsid w:val="007E1CD7"/>
    <w:rsid w:val="007E314E"/>
    <w:rsid w:val="007E3199"/>
    <w:rsid w:val="007E7038"/>
    <w:rsid w:val="007F36F4"/>
    <w:rsid w:val="007F3A7F"/>
    <w:rsid w:val="007F6F49"/>
    <w:rsid w:val="00802503"/>
    <w:rsid w:val="00803EC3"/>
    <w:rsid w:val="00804781"/>
    <w:rsid w:val="008051AF"/>
    <w:rsid w:val="0080761D"/>
    <w:rsid w:val="00811402"/>
    <w:rsid w:val="00813D6B"/>
    <w:rsid w:val="00817D69"/>
    <w:rsid w:val="008218C7"/>
    <w:rsid w:val="00823492"/>
    <w:rsid w:val="00826764"/>
    <w:rsid w:val="008323D0"/>
    <w:rsid w:val="00833552"/>
    <w:rsid w:val="00833787"/>
    <w:rsid w:val="008338AE"/>
    <w:rsid w:val="0083502D"/>
    <w:rsid w:val="00835CD8"/>
    <w:rsid w:val="008364AE"/>
    <w:rsid w:val="00842E74"/>
    <w:rsid w:val="00846D04"/>
    <w:rsid w:val="00851BA3"/>
    <w:rsid w:val="00853D95"/>
    <w:rsid w:val="00853E6C"/>
    <w:rsid w:val="00854047"/>
    <w:rsid w:val="00855571"/>
    <w:rsid w:val="00860F11"/>
    <w:rsid w:val="00871AB5"/>
    <w:rsid w:val="00871DE2"/>
    <w:rsid w:val="008764AC"/>
    <w:rsid w:val="008776F1"/>
    <w:rsid w:val="00877E15"/>
    <w:rsid w:val="00884999"/>
    <w:rsid w:val="008855BC"/>
    <w:rsid w:val="008860A9"/>
    <w:rsid w:val="00887F8D"/>
    <w:rsid w:val="00891206"/>
    <w:rsid w:val="0089358F"/>
    <w:rsid w:val="008A3132"/>
    <w:rsid w:val="008A55A4"/>
    <w:rsid w:val="008A6398"/>
    <w:rsid w:val="008B0951"/>
    <w:rsid w:val="008B2963"/>
    <w:rsid w:val="008B2A02"/>
    <w:rsid w:val="008B3566"/>
    <w:rsid w:val="008B3AE5"/>
    <w:rsid w:val="008B4056"/>
    <w:rsid w:val="008B4AE3"/>
    <w:rsid w:val="008C0B2C"/>
    <w:rsid w:val="008C24EA"/>
    <w:rsid w:val="008C3262"/>
    <w:rsid w:val="008C4ECF"/>
    <w:rsid w:val="008D1190"/>
    <w:rsid w:val="008D4EFD"/>
    <w:rsid w:val="008D63D3"/>
    <w:rsid w:val="008D6585"/>
    <w:rsid w:val="008E3015"/>
    <w:rsid w:val="008E3601"/>
    <w:rsid w:val="008E4C0A"/>
    <w:rsid w:val="008E59FC"/>
    <w:rsid w:val="008E7183"/>
    <w:rsid w:val="008F0ECA"/>
    <w:rsid w:val="008F31CD"/>
    <w:rsid w:val="008F43C0"/>
    <w:rsid w:val="008F7826"/>
    <w:rsid w:val="008F7E68"/>
    <w:rsid w:val="00900D65"/>
    <w:rsid w:val="00901C00"/>
    <w:rsid w:val="00902962"/>
    <w:rsid w:val="00903AF1"/>
    <w:rsid w:val="009042C2"/>
    <w:rsid w:val="0090499F"/>
    <w:rsid w:val="0090631B"/>
    <w:rsid w:val="009074B7"/>
    <w:rsid w:val="00910838"/>
    <w:rsid w:val="009137F5"/>
    <w:rsid w:val="009155E7"/>
    <w:rsid w:val="0091587E"/>
    <w:rsid w:val="0092108E"/>
    <w:rsid w:val="00921312"/>
    <w:rsid w:val="00921D13"/>
    <w:rsid w:val="00922AE8"/>
    <w:rsid w:val="00926CE7"/>
    <w:rsid w:val="0092787D"/>
    <w:rsid w:val="00931EFD"/>
    <w:rsid w:val="00931FCD"/>
    <w:rsid w:val="009357DA"/>
    <w:rsid w:val="009375DF"/>
    <w:rsid w:val="00940388"/>
    <w:rsid w:val="00940513"/>
    <w:rsid w:val="00940885"/>
    <w:rsid w:val="00940DC6"/>
    <w:rsid w:val="0094136C"/>
    <w:rsid w:val="00943427"/>
    <w:rsid w:val="009460F8"/>
    <w:rsid w:val="009479A1"/>
    <w:rsid w:val="00947F03"/>
    <w:rsid w:val="009523E9"/>
    <w:rsid w:val="009527F8"/>
    <w:rsid w:val="00953D93"/>
    <w:rsid w:val="009541E6"/>
    <w:rsid w:val="00966B6E"/>
    <w:rsid w:val="00970571"/>
    <w:rsid w:val="00970C23"/>
    <w:rsid w:val="00971687"/>
    <w:rsid w:val="009724EC"/>
    <w:rsid w:val="009727D0"/>
    <w:rsid w:val="00972852"/>
    <w:rsid w:val="00973444"/>
    <w:rsid w:val="009746A4"/>
    <w:rsid w:val="009771B5"/>
    <w:rsid w:val="00977E53"/>
    <w:rsid w:val="00980966"/>
    <w:rsid w:val="009825E1"/>
    <w:rsid w:val="00984C05"/>
    <w:rsid w:val="00987CAA"/>
    <w:rsid w:val="00990EA2"/>
    <w:rsid w:val="0099283B"/>
    <w:rsid w:val="00994B25"/>
    <w:rsid w:val="00994EFF"/>
    <w:rsid w:val="0099508F"/>
    <w:rsid w:val="009A2CD5"/>
    <w:rsid w:val="009A4287"/>
    <w:rsid w:val="009A555E"/>
    <w:rsid w:val="009A5D2E"/>
    <w:rsid w:val="009A6864"/>
    <w:rsid w:val="009B113F"/>
    <w:rsid w:val="009B357E"/>
    <w:rsid w:val="009B3E86"/>
    <w:rsid w:val="009B43D6"/>
    <w:rsid w:val="009B5769"/>
    <w:rsid w:val="009B756E"/>
    <w:rsid w:val="009C043C"/>
    <w:rsid w:val="009C1A29"/>
    <w:rsid w:val="009C2131"/>
    <w:rsid w:val="009C516A"/>
    <w:rsid w:val="009C53F0"/>
    <w:rsid w:val="009C5DDE"/>
    <w:rsid w:val="009D06FC"/>
    <w:rsid w:val="009D12AA"/>
    <w:rsid w:val="009D70FA"/>
    <w:rsid w:val="009F1FE2"/>
    <w:rsid w:val="009F2F58"/>
    <w:rsid w:val="009F6DE0"/>
    <w:rsid w:val="009F7061"/>
    <w:rsid w:val="00A023DB"/>
    <w:rsid w:val="00A03D1A"/>
    <w:rsid w:val="00A10D6F"/>
    <w:rsid w:val="00A125E6"/>
    <w:rsid w:val="00A12C8D"/>
    <w:rsid w:val="00A16450"/>
    <w:rsid w:val="00A220EC"/>
    <w:rsid w:val="00A23384"/>
    <w:rsid w:val="00A26411"/>
    <w:rsid w:val="00A30825"/>
    <w:rsid w:val="00A30940"/>
    <w:rsid w:val="00A3360B"/>
    <w:rsid w:val="00A33D31"/>
    <w:rsid w:val="00A34333"/>
    <w:rsid w:val="00A34F3C"/>
    <w:rsid w:val="00A35F4D"/>
    <w:rsid w:val="00A37362"/>
    <w:rsid w:val="00A3766C"/>
    <w:rsid w:val="00A37837"/>
    <w:rsid w:val="00A37D9F"/>
    <w:rsid w:val="00A37ED1"/>
    <w:rsid w:val="00A4116A"/>
    <w:rsid w:val="00A42C07"/>
    <w:rsid w:val="00A46B6C"/>
    <w:rsid w:val="00A5118A"/>
    <w:rsid w:val="00A51662"/>
    <w:rsid w:val="00A54592"/>
    <w:rsid w:val="00A5491C"/>
    <w:rsid w:val="00A54EBF"/>
    <w:rsid w:val="00A56FE5"/>
    <w:rsid w:val="00A6003C"/>
    <w:rsid w:val="00A6170E"/>
    <w:rsid w:val="00A6202C"/>
    <w:rsid w:val="00A633D7"/>
    <w:rsid w:val="00A64538"/>
    <w:rsid w:val="00A71632"/>
    <w:rsid w:val="00A75CD5"/>
    <w:rsid w:val="00A80FC7"/>
    <w:rsid w:val="00A81488"/>
    <w:rsid w:val="00A836AC"/>
    <w:rsid w:val="00A83799"/>
    <w:rsid w:val="00A852DF"/>
    <w:rsid w:val="00A85DA5"/>
    <w:rsid w:val="00A9144A"/>
    <w:rsid w:val="00A93F64"/>
    <w:rsid w:val="00A94C04"/>
    <w:rsid w:val="00AA0DE3"/>
    <w:rsid w:val="00AA1F88"/>
    <w:rsid w:val="00AA4725"/>
    <w:rsid w:val="00AB0BBF"/>
    <w:rsid w:val="00AB1F21"/>
    <w:rsid w:val="00AB4AA2"/>
    <w:rsid w:val="00AB4C89"/>
    <w:rsid w:val="00AB7A48"/>
    <w:rsid w:val="00AC0E4D"/>
    <w:rsid w:val="00AC1DCA"/>
    <w:rsid w:val="00AC3E38"/>
    <w:rsid w:val="00AC3E73"/>
    <w:rsid w:val="00AD2C6A"/>
    <w:rsid w:val="00AD309B"/>
    <w:rsid w:val="00AE48C8"/>
    <w:rsid w:val="00AE7150"/>
    <w:rsid w:val="00AF1538"/>
    <w:rsid w:val="00AF4F64"/>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1C20"/>
    <w:rsid w:val="00B72089"/>
    <w:rsid w:val="00B73B5E"/>
    <w:rsid w:val="00B7418C"/>
    <w:rsid w:val="00B74889"/>
    <w:rsid w:val="00B811CE"/>
    <w:rsid w:val="00B82631"/>
    <w:rsid w:val="00B85AB5"/>
    <w:rsid w:val="00B8657B"/>
    <w:rsid w:val="00B90080"/>
    <w:rsid w:val="00B93501"/>
    <w:rsid w:val="00B9531D"/>
    <w:rsid w:val="00B969BE"/>
    <w:rsid w:val="00B96C9F"/>
    <w:rsid w:val="00B97BFC"/>
    <w:rsid w:val="00BA2E4D"/>
    <w:rsid w:val="00BA68EA"/>
    <w:rsid w:val="00BA7156"/>
    <w:rsid w:val="00BA7EC6"/>
    <w:rsid w:val="00BB19EE"/>
    <w:rsid w:val="00BB2E5D"/>
    <w:rsid w:val="00BC15C3"/>
    <w:rsid w:val="00BC417C"/>
    <w:rsid w:val="00BC7010"/>
    <w:rsid w:val="00BC71E0"/>
    <w:rsid w:val="00BD4690"/>
    <w:rsid w:val="00BD482E"/>
    <w:rsid w:val="00BD57E4"/>
    <w:rsid w:val="00BD6159"/>
    <w:rsid w:val="00BE0DAE"/>
    <w:rsid w:val="00BF0212"/>
    <w:rsid w:val="00C024BD"/>
    <w:rsid w:val="00C03739"/>
    <w:rsid w:val="00C053EC"/>
    <w:rsid w:val="00C101F6"/>
    <w:rsid w:val="00C10B6A"/>
    <w:rsid w:val="00C13DC8"/>
    <w:rsid w:val="00C145A2"/>
    <w:rsid w:val="00C22A20"/>
    <w:rsid w:val="00C237FA"/>
    <w:rsid w:val="00C24FEF"/>
    <w:rsid w:val="00C274BE"/>
    <w:rsid w:val="00C30107"/>
    <w:rsid w:val="00C31110"/>
    <w:rsid w:val="00C35530"/>
    <w:rsid w:val="00C44CA4"/>
    <w:rsid w:val="00C4575D"/>
    <w:rsid w:val="00C457FE"/>
    <w:rsid w:val="00C46473"/>
    <w:rsid w:val="00C515B4"/>
    <w:rsid w:val="00C56E27"/>
    <w:rsid w:val="00C6115D"/>
    <w:rsid w:val="00C612A2"/>
    <w:rsid w:val="00C62F6E"/>
    <w:rsid w:val="00C670D7"/>
    <w:rsid w:val="00C76628"/>
    <w:rsid w:val="00C8336F"/>
    <w:rsid w:val="00C84358"/>
    <w:rsid w:val="00C84F3C"/>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511"/>
    <w:rsid w:val="00CF363F"/>
    <w:rsid w:val="00CF50C0"/>
    <w:rsid w:val="00CF703F"/>
    <w:rsid w:val="00D00D1E"/>
    <w:rsid w:val="00D04312"/>
    <w:rsid w:val="00D04499"/>
    <w:rsid w:val="00D10F26"/>
    <w:rsid w:val="00D11DC5"/>
    <w:rsid w:val="00D212AA"/>
    <w:rsid w:val="00D224C3"/>
    <w:rsid w:val="00D2734F"/>
    <w:rsid w:val="00D278F1"/>
    <w:rsid w:val="00D27A1A"/>
    <w:rsid w:val="00D27F12"/>
    <w:rsid w:val="00D36D95"/>
    <w:rsid w:val="00D473EC"/>
    <w:rsid w:val="00D50085"/>
    <w:rsid w:val="00D50546"/>
    <w:rsid w:val="00D5276C"/>
    <w:rsid w:val="00D52833"/>
    <w:rsid w:val="00D54043"/>
    <w:rsid w:val="00D565FB"/>
    <w:rsid w:val="00D56F2C"/>
    <w:rsid w:val="00D57F72"/>
    <w:rsid w:val="00D615B2"/>
    <w:rsid w:val="00D6178C"/>
    <w:rsid w:val="00D630E7"/>
    <w:rsid w:val="00D63931"/>
    <w:rsid w:val="00D64664"/>
    <w:rsid w:val="00D72032"/>
    <w:rsid w:val="00D81DB4"/>
    <w:rsid w:val="00D861A3"/>
    <w:rsid w:val="00D87CAB"/>
    <w:rsid w:val="00D9186D"/>
    <w:rsid w:val="00D918BA"/>
    <w:rsid w:val="00D9218E"/>
    <w:rsid w:val="00D92249"/>
    <w:rsid w:val="00D94C8B"/>
    <w:rsid w:val="00D975EE"/>
    <w:rsid w:val="00DA0012"/>
    <w:rsid w:val="00DA01E2"/>
    <w:rsid w:val="00DA276D"/>
    <w:rsid w:val="00DA37F5"/>
    <w:rsid w:val="00DA41DD"/>
    <w:rsid w:val="00DA4892"/>
    <w:rsid w:val="00DA5F4A"/>
    <w:rsid w:val="00DA6706"/>
    <w:rsid w:val="00DB215D"/>
    <w:rsid w:val="00DB3C33"/>
    <w:rsid w:val="00DC086F"/>
    <w:rsid w:val="00DC1D6E"/>
    <w:rsid w:val="00DC2AC2"/>
    <w:rsid w:val="00DC3EFA"/>
    <w:rsid w:val="00DC3F93"/>
    <w:rsid w:val="00DD24A8"/>
    <w:rsid w:val="00DD2E11"/>
    <w:rsid w:val="00DD776E"/>
    <w:rsid w:val="00DE0BDA"/>
    <w:rsid w:val="00DE43BA"/>
    <w:rsid w:val="00DE51FE"/>
    <w:rsid w:val="00DE6647"/>
    <w:rsid w:val="00DF2ECD"/>
    <w:rsid w:val="00DF471F"/>
    <w:rsid w:val="00DF4B3A"/>
    <w:rsid w:val="00DF6617"/>
    <w:rsid w:val="00DF6975"/>
    <w:rsid w:val="00DF7C7E"/>
    <w:rsid w:val="00E00E43"/>
    <w:rsid w:val="00E02C54"/>
    <w:rsid w:val="00E02DA3"/>
    <w:rsid w:val="00E03305"/>
    <w:rsid w:val="00E04EDB"/>
    <w:rsid w:val="00E05921"/>
    <w:rsid w:val="00E07CC9"/>
    <w:rsid w:val="00E10D4C"/>
    <w:rsid w:val="00E1158E"/>
    <w:rsid w:val="00E15232"/>
    <w:rsid w:val="00E17612"/>
    <w:rsid w:val="00E2159F"/>
    <w:rsid w:val="00E23414"/>
    <w:rsid w:val="00E23E5B"/>
    <w:rsid w:val="00E25AC1"/>
    <w:rsid w:val="00E275A5"/>
    <w:rsid w:val="00E2799E"/>
    <w:rsid w:val="00E27AB0"/>
    <w:rsid w:val="00E3035C"/>
    <w:rsid w:val="00E32795"/>
    <w:rsid w:val="00E330F5"/>
    <w:rsid w:val="00E37647"/>
    <w:rsid w:val="00E41381"/>
    <w:rsid w:val="00E42A8E"/>
    <w:rsid w:val="00E4741E"/>
    <w:rsid w:val="00E47D59"/>
    <w:rsid w:val="00E549EE"/>
    <w:rsid w:val="00E61C98"/>
    <w:rsid w:val="00E61FF0"/>
    <w:rsid w:val="00E72647"/>
    <w:rsid w:val="00E74776"/>
    <w:rsid w:val="00E748EE"/>
    <w:rsid w:val="00E7547B"/>
    <w:rsid w:val="00E8719D"/>
    <w:rsid w:val="00E9210B"/>
    <w:rsid w:val="00EA043B"/>
    <w:rsid w:val="00EA0A1A"/>
    <w:rsid w:val="00EA4F70"/>
    <w:rsid w:val="00EA597A"/>
    <w:rsid w:val="00EB4034"/>
    <w:rsid w:val="00EB5075"/>
    <w:rsid w:val="00EB631F"/>
    <w:rsid w:val="00EB665F"/>
    <w:rsid w:val="00EB767A"/>
    <w:rsid w:val="00EB7923"/>
    <w:rsid w:val="00EC0C76"/>
    <w:rsid w:val="00EC1F9E"/>
    <w:rsid w:val="00EC397E"/>
    <w:rsid w:val="00EC3A36"/>
    <w:rsid w:val="00EC3EF3"/>
    <w:rsid w:val="00EC72DC"/>
    <w:rsid w:val="00EC7BE5"/>
    <w:rsid w:val="00ED037D"/>
    <w:rsid w:val="00ED1699"/>
    <w:rsid w:val="00ED4B71"/>
    <w:rsid w:val="00ED7498"/>
    <w:rsid w:val="00ED74B8"/>
    <w:rsid w:val="00EE1581"/>
    <w:rsid w:val="00EE2CF6"/>
    <w:rsid w:val="00EE51CE"/>
    <w:rsid w:val="00EE5F75"/>
    <w:rsid w:val="00EE7B23"/>
    <w:rsid w:val="00EE7F5B"/>
    <w:rsid w:val="00EF0391"/>
    <w:rsid w:val="00EF328B"/>
    <w:rsid w:val="00EF5352"/>
    <w:rsid w:val="00EF67F9"/>
    <w:rsid w:val="00EF6AC1"/>
    <w:rsid w:val="00F02637"/>
    <w:rsid w:val="00F02913"/>
    <w:rsid w:val="00F04606"/>
    <w:rsid w:val="00F04A75"/>
    <w:rsid w:val="00F071EA"/>
    <w:rsid w:val="00F107BB"/>
    <w:rsid w:val="00F116E5"/>
    <w:rsid w:val="00F13708"/>
    <w:rsid w:val="00F13F6A"/>
    <w:rsid w:val="00F14897"/>
    <w:rsid w:val="00F155B5"/>
    <w:rsid w:val="00F218F0"/>
    <w:rsid w:val="00F2577A"/>
    <w:rsid w:val="00F25F8F"/>
    <w:rsid w:val="00F27655"/>
    <w:rsid w:val="00F310E6"/>
    <w:rsid w:val="00F315E4"/>
    <w:rsid w:val="00F3212D"/>
    <w:rsid w:val="00F32478"/>
    <w:rsid w:val="00F3320F"/>
    <w:rsid w:val="00F35320"/>
    <w:rsid w:val="00F3668F"/>
    <w:rsid w:val="00F4240C"/>
    <w:rsid w:val="00F43782"/>
    <w:rsid w:val="00F43B70"/>
    <w:rsid w:val="00F449C7"/>
    <w:rsid w:val="00F470F3"/>
    <w:rsid w:val="00F474E4"/>
    <w:rsid w:val="00F504BE"/>
    <w:rsid w:val="00F51566"/>
    <w:rsid w:val="00F538CF"/>
    <w:rsid w:val="00F5419A"/>
    <w:rsid w:val="00F650D0"/>
    <w:rsid w:val="00F71623"/>
    <w:rsid w:val="00F722F8"/>
    <w:rsid w:val="00F73E12"/>
    <w:rsid w:val="00F74B24"/>
    <w:rsid w:val="00F756DD"/>
    <w:rsid w:val="00F75940"/>
    <w:rsid w:val="00F77455"/>
    <w:rsid w:val="00F82393"/>
    <w:rsid w:val="00F8336B"/>
    <w:rsid w:val="00F848EF"/>
    <w:rsid w:val="00F85654"/>
    <w:rsid w:val="00F865EB"/>
    <w:rsid w:val="00F93510"/>
    <w:rsid w:val="00F95FD0"/>
    <w:rsid w:val="00FA15D3"/>
    <w:rsid w:val="00FA2D78"/>
    <w:rsid w:val="00FA458E"/>
    <w:rsid w:val="00FA5CF1"/>
    <w:rsid w:val="00FA6539"/>
    <w:rsid w:val="00FA70BE"/>
    <w:rsid w:val="00FB1E36"/>
    <w:rsid w:val="00FB20DC"/>
    <w:rsid w:val="00FB27C5"/>
    <w:rsid w:val="00FB7AF2"/>
    <w:rsid w:val="00FC1067"/>
    <w:rsid w:val="00FC20A4"/>
    <w:rsid w:val="00FC5D5F"/>
    <w:rsid w:val="00FD0E8A"/>
    <w:rsid w:val="00FD21AD"/>
    <w:rsid w:val="00FD5AB9"/>
    <w:rsid w:val="00FD63B9"/>
    <w:rsid w:val="00FD687E"/>
    <w:rsid w:val="00FE2DDB"/>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uiPriority="2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30"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29"/>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7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uiPriority w:val="98"/>
    <w:rsid w:val="00B12EF5"/>
    <w:pPr>
      <w:tabs>
        <w:tab w:val="center" w:pos="4513"/>
        <w:tab w:val="right" w:pos="9026"/>
      </w:tabs>
      <w:spacing w:line="240" w:lineRule="auto"/>
    </w:pPr>
  </w:style>
  <w:style w:type="character" w:styleId="HeaderChar" w:customStyle="1">
    <w:name w:val="Header Char"/>
    <w:basedOn w:val="DefaultParagraphFont"/>
    <w:link w:val="Header"/>
    <w:uiPriority w:val="98"/>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30"/>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35"/>
      </w:numPr>
      <w:tabs>
        <w:tab w:val="num" w:pos="3600"/>
      </w:tabs>
      <w:outlineLvl w:val="4"/>
    </w:pPr>
    <w:rPr>
      <w:rFonts w:eastAsia="Microsoft JhengHei"/>
    </w:rPr>
  </w:style>
  <w:style w:type="paragraph" w:styleId="AltH1OCAshurst" w:customStyle="1">
    <w:name w:val="AltH1OCAshurst"/>
    <w:basedOn w:val="NormalOCAshurst"/>
    <w:uiPriority w:val="40"/>
    <w:rsid w:val="006A0136"/>
    <w:pPr>
      <w:numPr>
        <w:numId w:val="35"/>
      </w:numPr>
      <w:tabs>
        <w:tab w:val="num" w:pos="3277"/>
      </w:tabs>
      <w:outlineLvl w:val="0"/>
    </w:pPr>
    <w:rPr>
      <w:rFonts w:eastAsia="Microsoft JhengHei"/>
    </w:rPr>
  </w:style>
  <w:style w:type="paragraph" w:styleId="AltH2OCAshurst" w:customStyle="1">
    <w:name w:val="AltH2OCAshurst"/>
    <w:basedOn w:val="NormalOCAshurst"/>
    <w:uiPriority w:val="40"/>
    <w:rsid w:val="006A0136"/>
    <w:pPr>
      <w:numPr>
        <w:ilvl w:val="1"/>
        <w:numId w:val="35"/>
      </w:numPr>
      <w:tabs>
        <w:tab w:val="num" w:pos="1440"/>
      </w:tabs>
      <w:outlineLvl w:val="1"/>
    </w:pPr>
    <w:rPr>
      <w:rFonts w:eastAsia="Microsoft JhengHei"/>
    </w:rPr>
  </w:style>
  <w:style w:type="paragraph" w:styleId="AltH3OCAshurst" w:customStyle="1">
    <w:name w:val="AltH3OCAshurst"/>
    <w:basedOn w:val="NormalOCAshurst"/>
    <w:uiPriority w:val="40"/>
    <w:rsid w:val="006A0136"/>
    <w:pPr>
      <w:numPr>
        <w:ilvl w:val="2"/>
        <w:numId w:val="35"/>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35"/>
      </w:numPr>
      <w:tabs>
        <w:tab w:val="num" w:pos="2880"/>
      </w:tabs>
      <w:outlineLvl w:val="3"/>
    </w:pPr>
    <w:rPr>
      <w:rFonts w:eastAsia="Microsoft JhengHei"/>
    </w:rPr>
  </w:style>
  <w:style w:type="paragraph" w:styleId="AltH6OCAshurst" w:customStyle="1">
    <w:name w:val="AltH6OCAshurst"/>
    <w:basedOn w:val="NormalOCAshurst"/>
    <w:uiPriority w:val="40"/>
    <w:rsid w:val="006A0136"/>
    <w:pPr>
      <w:numPr>
        <w:ilvl w:val="5"/>
        <w:numId w:val="35"/>
      </w:numPr>
      <w:tabs>
        <w:tab w:val="num" w:pos="4320"/>
      </w:tabs>
      <w:outlineLvl w:val="5"/>
    </w:pPr>
    <w:rPr>
      <w:rFonts w:eastAsia="Microsoft JhengHei"/>
    </w:rPr>
  </w:style>
  <w:style w:type="paragraph" w:styleId="AltH7OCAshurst" w:customStyle="1">
    <w:name w:val="AltH7OCAshurst"/>
    <w:basedOn w:val="NormalOCAshurst"/>
    <w:uiPriority w:val="40"/>
    <w:rsid w:val="006A0136"/>
    <w:pPr>
      <w:numPr>
        <w:ilvl w:val="6"/>
        <w:numId w:val="35"/>
      </w:numPr>
      <w:tabs>
        <w:tab w:val="num" w:pos="5040"/>
      </w:tabs>
      <w:outlineLvl w:val="6"/>
    </w:pPr>
    <w:rPr>
      <w:rFonts w:eastAsia="Microsoft JhengHei"/>
    </w:rPr>
  </w:style>
  <w:style w:type="paragraph" w:styleId="AltH8OCAshurst" w:customStyle="1">
    <w:name w:val="AltH8OCAshurst"/>
    <w:basedOn w:val="NormalOCAshurst"/>
    <w:uiPriority w:val="40"/>
    <w:rsid w:val="006A0136"/>
    <w:pPr>
      <w:numPr>
        <w:ilvl w:val="7"/>
        <w:numId w:val="35"/>
      </w:numPr>
      <w:tabs>
        <w:tab w:val="num" w:pos="5760"/>
      </w:tabs>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uiPriority w:val="26"/>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clear" w:pos="793"/>
        <w:tab w:val="num" w:pos="360"/>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clear" w:pos="1360"/>
        <w:tab w:val="num" w:pos="360"/>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clear" w:pos="1927"/>
        <w:tab w:val="num" w:pos="360"/>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 w:type="paragraph" w:styleId="Body3OCAshurst" w:customStyle="1">
    <w:name w:val="Body3OCAshurst"/>
    <w:basedOn w:val="NormalOCAshurst"/>
    <w:uiPriority w:val="2"/>
    <w:qFormat/>
    <w:rsid w:val="00E549EE"/>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Body4OCAshurst" w:customStyle="1">
    <w:name w:val="Body4OCAshurst"/>
    <w:basedOn w:val="NormalOCAshurst"/>
    <w:uiPriority w:val="79"/>
    <w:rsid w:val="00E549EE"/>
    <w:pPr>
      <w:tabs>
        <w:tab w:val="left" w:pos="1276"/>
        <w:tab w:val="left" w:pos="1843"/>
        <w:tab w:val="left" w:pos="2409"/>
        <w:tab w:val="left" w:pos="2976"/>
        <w:tab w:val="left" w:pos="3543"/>
        <w:tab w:val="left" w:pos="4110"/>
      </w:tabs>
      <w:ind w:left="1276"/>
    </w:pPr>
    <w:rPr>
      <w:rFonts w:asciiTheme="minorHAnsi" w:hAnsiTheme="minorHAnsi" w:eastAsiaTheme="minorEastAsia"/>
    </w:rPr>
  </w:style>
  <w:style w:type="paragraph" w:styleId="Body5OCAshurst" w:customStyle="1">
    <w:name w:val="Body5OCAshurst"/>
    <w:basedOn w:val="NormalOCAshurst"/>
    <w:uiPriority w:val="79"/>
    <w:rsid w:val="00E549EE"/>
    <w:pPr>
      <w:tabs>
        <w:tab w:val="left" w:pos="1843"/>
        <w:tab w:val="left" w:pos="2409"/>
        <w:tab w:val="left" w:pos="2976"/>
        <w:tab w:val="left" w:pos="3543"/>
        <w:tab w:val="left" w:pos="4110"/>
      </w:tabs>
      <w:ind w:left="1843"/>
    </w:pPr>
    <w:rPr>
      <w:rFonts w:asciiTheme="minorHAnsi" w:hAnsiTheme="minorHAnsi" w:eastAsiaTheme="minorEastAsia"/>
    </w:rPr>
  </w:style>
  <w:style w:type="paragraph" w:styleId="Body6OCAshurst" w:customStyle="1">
    <w:name w:val="Body6OCAshurst"/>
    <w:basedOn w:val="NormalOCAshurst"/>
    <w:uiPriority w:val="79"/>
    <w:rsid w:val="00E549EE"/>
    <w:pPr>
      <w:tabs>
        <w:tab w:val="left" w:pos="2409"/>
        <w:tab w:val="left" w:pos="2976"/>
        <w:tab w:val="left" w:pos="3543"/>
        <w:tab w:val="left" w:pos="4110"/>
      </w:tabs>
      <w:ind w:left="2410"/>
    </w:pPr>
    <w:rPr>
      <w:rFonts w:asciiTheme="minorHAnsi" w:hAnsiTheme="minorHAnsi" w:eastAsiaTheme="minorEastAsia"/>
    </w:rPr>
  </w:style>
  <w:style w:type="paragraph" w:styleId="Body7OCAshurst" w:customStyle="1">
    <w:name w:val="Body7OCAshurst"/>
    <w:basedOn w:val="NormalOCAshurst"/>
    <w:uiPriority w:val="79"/>
    <w:rsid w:val="00E549EE"/>
    <w:pPr>
      <w:tabs>
        <w:tab w:val="left" w:pos="2976"/>
        <w:tab w:val="left" w:pos="3543"/>
        <w:tab w:val="left" w:pos="4110"/>
      </w:tabs>
      <w:ind w:left="2977"/>
    </w:pPr>
    <w:rPr>
      <w:rFonts w:asciiTheme="minorHAnsi" w:hAnsiTheme="minorHAnsi" w:eastAsiaTheme="minorEastAsia"/>
    </w:rPr>
  </w:style>
  <w:style w:type="paragraph" w:styleId="Body8OCAshurst" w:customStyle="1">
    <w:name w:val="Body8OCAshurst"/>
    <w:basedOn w:val="NormalOCAshurst"/>
    <w:uiPriority w:val="79"/>
    <w:rsid w:val="00E549EE"/>
    <w:pPr>
      <w:tabs>
        <w:tab w:val="left" w:pos="3543"/>
        <w:tab w:val="left" w:pos="4110"/>
      </w:tabs>
      <w:ind w:left="3544"/>
    </w:pPr>
    <w:rPr>
      <w:rFonts w:asciiTheme="minorHAnsi" w:hAnsiTheme="minorHAnsi" w:eastAsiaTheme="minorEastAsia"/>
    </w:rPr>
  </w:style>
  <w:style w:type="paragraph" w:styleId="CBoldCapsAshurst0" w:customStyle="1">
    <w:name w:val="CBoldCapsAshurst"/>
    <w:basedOn w:val="NormalOCAshurst"/>
    <w:next w:val="NormalOCAshurst"/>
    <w:uiPriority w:val="60"/>
    <w:rsid w:val="00E549EE"/>
    <w:pPr>
      <w:keepNext/>
      <w:jc w:val="center"/>
    </w:pPr>
    <w:rPr>
      <w:rFonts w:asciiTheme="minorHAnsi" w:hAnsiTheme="minorHAnsi" w:eastAsiaTheme="minorEastAsia"/>
      <w:b/>
      <w:caps/>
    </w:rPr>
  </w:style>
  <w:style w:type="paragraph" w:styleId="LBoldCapsAshurst0" w:customStyle="1">
    <w:name w:val="LBoldCapsAshurst"/>
    <w:basedOn w:val="CBoldCapsAshurst0"/>
    <w:next w:val="NormalOCAshurst"/>
    <w:uiPriority w:val="60"/>
    <w:rsid w:val="00E549EE"/>
    <w:pPr>
      <w:jc w:val="left"/>
    </w:pPr>
  </w:style>
  <w:style w:type="paragraph" w:styleId="LeftBoldItalicsOCAshurst" w:customStyle="1">
    <w:name w:val="LeftBoldItalicsOCAshurst"/>
    <w:basedOn w:val="NormalOCAshurst"/>
    <w:next w:val="Body1OCAshurst"/>
    <w:uiPriority w:val="79"/>
    <w:rsid w:val="00E549EE"/>
    <w:pPr>
      <w:keepNext/>
      <w:ind w:left="709"/>
    </w:pPr>
    <w:rPr>
      <w:rFonts w:asciiTheme="minorHAnsi" w:hAnsiTheme="minorHAnsi" w:eastAsiaTheme="minorEastAsia"/>
      <w:b/>
      <w:i/>
    </w:rPr>
  </w:style>
  <w:style w:type="paragraph" w:styleId="RBoldCapsAshurst0" w:customStyle="1">
    <w:name w:val="RBoldCapsAshurst"/>
    <w:basedOn w:val="CBoldCapsAshurst0"/>
    <w:uiPriority w:val="60"/>
    <w:rsid w:val="00E549EE"/>
    <w:pPr>
      <w:jc w:val="right"/>
    </w:pPr>
  </w:style>
  <w:style w:type="paragraph" w:styleId="TableOCAshurst" w:customStyle="1">
    <w:name w:val="TableOCAshurst"/>
    <w:basedOn w:val="NormalOCAshurst"/>
    <w:uiPriority w:val="79"/>
    <w:rsid w:val="00E549EE"/>
    <w:pPr>
      <w:spacing w:before="100" w:after="100"/>
    </w:pPr>
    <w:rPr>
      <w:rFonts w:asciiTheme="minorHAnsi" w:hAnsiTheme="minorHAnsi" w:eastAsiaTheme="minorEastAsia"/>
    </w:rPr>
  </w:style>
  <w:style w:type="paragraph" w:styleId="TramfrontOCAshurst" w:customStyle="1">
    <w:name w:val="TramfrontOCAshurst"/>
    <w:basedOn w:val="MainHeadingOCAshurst"/>
    <w:uiPriority w:val="79"/>
    <w:rsid w:val="00E549EE"/>
    <w:pPr>
      <w:tabs>
        <w:tab w:val="left" w:pos="709"/>
        <w:tab w:val="left" w:pos="1276"/>
        <w:tab w:val="left" w:pos="1843"/>
        <w:tab w:val="left" w:pos="2409"/>
        <w:tab w:val="left" w:pos="2976"/>
        <w:tab w:val="left" w:pos="3543"/>
        <w:tab w:val="left" w:pos="4110"/>
      </w:tabs>
      <w:spacing w:after="40"/>
    </w:pPr>
    <w:rPr>
      <w:sz w:val="12"/>
    </w:rPr>
  </w:style>
  <w:style w:type="paragraph" w:styleId="TramMainOCAshurst" w:customStyle="1">
    <w:name w:val="TramMainOCAshurst"/>
    <w:basedOn w:val="NormalOCAshurst"/>
    <w:uiPriority w:val="79"/>
    <w:rsid w:val="00E549EE"/>
    <w:pPr>
      <w:spacing w:after="120"/>
      <w:jc w:val="center"/>
    </w:pPr>
    <w:rPr>
      <w:rFonts w:asciiTheme="minorHAnsi" w:hAnsiTheme="minorHAnsi" w:eastAsiaTheme="minorEastAsia"/>
      <w:sz w:val="16"/>
    </w:rPr>
  </w:style>
  <w:style w:type="paragraph" w:styleId="6ptOCAshurst" w:customStyle="1">
    <w:name w:val="6ptOCAshurst"/>
    <w:basedOn w:val="NormalOCAshurst"/>
    <w:uiPriority w:val="60"/>
    <w:rsid w:val="00E549EE"/>
    <w:pPr>
      <w:tabs>
        <w:tab w:val="left" w:pos="709"/>
        <w:tab w:val="left" w:pos="1276"/>
        <w:tab w:val="left" w:pos="1843"/>
        <w:tab w:val="left" w:pos="2409"/>
        <w:tab w:val="left" w:pos="2976"/>
        <w:tab w:val="left" w:pos="3543"/>
        <w:tab w:val="left" w:pos="4110"/>
      </w:tabs>
      <w:spacing w:after="40"/>
      <w:jc w:val="center"/>
    </w:pPr>
    <w:rPr>
      <w:rFonts w:asciiTheme="minorHAnsi" w:hAnsiTheme="minorHAnsi" w:eastAsiaTheme="minorEastAsia"/>
      <w:b/>
      <w:i/>
      <w:sz w:val="12"/>
    </w:rPr>
  </w:style>
  <w:style w:type="paragraph" w:styleId="NoteHeading">
    <w:name w:val="Note Heading"/>
    <w:basedOn w:val="Normal"/>
    <w:next w:val="Normal"/>
    <w:uiPriority w:val="98"/>
    <w:rsid w:val="00E549EE"/>
    <w:pPr>
      <w:spacing w:line="240" w:lineRule="auto"/>
      <w:jc w:val="left"/>
    </w:pPr>
    <w:rPr>
      <w:rFonts w:asciiTheme="minorHAnsi" w:hAnsiTheme="minorHAnsi" w:eastAsiaTheme="minorEastAsia"/>
      <w:sz w:val="20"/>
      <w:szCs w:val="20"/>
      <w:lang w:eastAsia="zh-TW"/>
    </w:rPr>
  </w:style>
  <w:style w:type="character" w:styleId="NoteHeadingChar1" w:customStyle="1">
    <w:name w:val="Note Heading Char1"/>
    <w:basedOn w:val="DefaultParagraphFont"/>
    <w:uiPriority w:val="98"/>
    <w:rsid w:val="00E549EE"/>
    <w:rPr>
      <w:rFonts w:ascii="Verdana" w:hAnsi="Verdana" w:eastAsia="Times New Roman" w:cs="Times New Roman"/>
      <w:szCs w:val="18"/>
      <w:lang w:eastAsia="en-GB"/>
    </w:rPr>
  </w:style>
  <w:style w:type="paragraph" w:styleId="OCTable1BodyAshurst" w:customStyle="1">
    <w:name w:val="OCTable1_BodyAshurst"/>
    <w:basedOn w:val="NormalOCAshurst"/>
    <w:uiPriority w:val="79"/>
    <w:rsid w:val="00E549EE"/>
    <w:pPr>
      <w:ind w:left="709"/>
    </w:pPr>
    <w:rPr>
      <w:rFonts w:eastAsia="MS Mincho" w:asciiTheme="minorHAnsi" w:hAnsiTheme="minorHAnsi"/>
      <w:lang w:eastAsia="ja-JP"/>
    </w:rPr>
  </w:style>
  <w:style w:type="paragraph" w:styleId="OCTable2BodyAshurst" w:customStyle="1">
    <w:name w:val="OCTable2_BodyAshurst"/>
    <w:basedOn w:val="NormalOCAshurst"/>
    <w:uiPriority w:val="79"/>
    <w:rsid w:val="00E549EE"/>
    <w:pPr>
      <w:ind w:left="1276"/>
    </w:pPr>
    <w:rPr>
      <w:rFonts w:asciiTheme="minorHAnsi" w:hAnsiTheme="minorHAnsi" w:eastAsiaTheme="minorEastAsia"/>
    </w:rPr>
  </w:style>
  <w:style w:type="paragraph" w:styleId="OCTable3BodyAshurst" w:customStyle="1">
    <w:name w:val="OCTable3_BodyAshurst"/>
    <w:basedOn w:val="NormalOCAshurst"/>
    <w:uiPriority w:val="79"/>
    <w:rsid w:val="00E549EE"/>
    <w:pPr>
      <w:ind w:left="1843"/>
    </w:pPr>
    <w:rPr>
      <w:rFonts w:eastAsia="MS Mincho" w:asciiTheme="minorHAnsi" w:hAnsiTheme="minorHAnsi"/>
      <w:lang w:eastAsia="ja-JP"/>
    </w:rPr>
  </w:style>
  <w:style w:type="paragraph" w:styleId="OCTable4BodyAshurst" w:customStyle="1">
    <w:name w:val="OCTable4_BodyAshurst"/>
    <w:basedOn w:val="NormalOCAshurst"/>
    <w:uiPriority w:val="79"/>
    <w:rsid w:val="00E549EE"/>
    <w:pPr>
      <w:ind w:left="2410"/>
    </w:pPr>
    <w:rPr>
      <w:rFonts w:asciiTheme="minorHAnsi" w:hAnsiTheme="minorHAnsi" w:eastAsiaTheme="minorEastAsia"/>
    </w:rPr>
  </w:style>
  <w:style w:type="paragraph" w:styleId="DefSubSubSubOCAshurst" w:customStyle="1">
    <w:name w:val="DefSubSubSubOCAshurst"/>
    <w:basedOn w:val="NormalOCAshurst"/>
    <w:uiPriority w:val="98"/>
    <w:rsid w:val="00E549EE"/>
    <w:pPr>
      <w:tabs>
        <w:tab w:val="num" w:pos="1843"/>
      </w:tabs>
      <w:ind w:left="1843" w:hanging="567"/>
    </w:pPr>
    <w:rPr>
      <w:rFonts w:asciiTheme="minorHAnsi" w:hAnsiTheme="minorHAnsi" w:eastAsiaTheme="minorEastAsia"/>
    </w:rPr>
  </w:style>
  <w:style w:type="table" w:styleId="Footertable" w:customStyle="1">
    <w:name w:val="Footer table"/>
    <w:basedOn w:val="TableNormal"/>
    <w:uiPriority w:val="99"/>
    <w:rsid w:val="00E549EE"/>
    <w:pPr>
      <w:spacing w:before="120" w:line="140" w:lineRule="atLeast"/>
    </w:pPr>
    <w:rPr>
      <w:sz w:val="13"/>
      <w:szCs w:val="20"/>
      <w:lang w:eastAsia="zh-CN"/>
    </w:rPr>
    <w:tblPr>
      <w:tblInd w:w="-2569" w:type="dxa"/>
      <w:tblCellMar>
        <w:left w:w="0" w:type="dxa"/>
        <w:right w:w="0" w:type="dxa"/>
      </w:tblCellMar>
    </w:tblPr>
    <w:tblStylePr w:type="firstRow">
      <w:pPr>
        <w:wordWrap/>
        <w:spacing w:before="0" w:beforeLines="0" w:beforeAutospacing="0"/>
      </w:pPr>
    </w:tblStylePr>
    <w:tblStylePr w:type="firstCol">
      <w:rPr>
        <w:sz w:val="16"/>
      </w:rPr>
    </w:tblStylePr>
    <w:tblStylePr w:type="lastCol">
      <w:pPr>
        <w:jc w:val="right"/>
      </w:pPr>
      <w:rPr>
        <w:sz w:val="16"/>
      </w:rPr>
    </w:tblStylePr>
  </w:style>
  <w:style w:type="paragraph" w:styleId="AltH1OCAshurstBold" w:customStyle="1">
    <w:name w:val="AltH1OCAshurst + Bold"/>
    <w:basedOn w:val="NormalOCAshurst"/>
    <w:rsid w:val="00E549EE"/>
    <w:rPr>
      <w:rFonts w:asciiTheme="minorHAnsi" w:hAnsiTheme="minorHAnsi" w:eastAsiaTheme="minorEastAsia"/>
      <w:b/>
      <w:bCs/>
    </w:rPr>
  </w:style>
  <w:style w:type="paragraph" w:styleId="Body" w:customStyle="1">
    <w:name w:val="Body"/>
    <w:basedOn w:val="Normal"/>
    <w:rsid w:val="009C5DDE"/>
    <w:pPr>
      <w:spacing w:after="140" w:line="288" w:lineRule="auto"/>
    </w:pPr>
    <w:rPr>
      <w:rFonts w:ascii="Arial" w:hAnsi="Arial" w:eastAsia="DengXian"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8445">
      <w:bodyDiv w:val="1"/>
      <w:marLeft w:val="0"/>
      <w:marRight w:val="0"/>
      <w:marTop w:val="0"/>
      <w:marBottom w:val="0"/>
      <w:divBdr>
        <w:top w:val="none" w:sz="0" w:space="0" w:color="auto"/>
        <w:left w:val="none" w:sz="0" w:space="0" w:color="auto"/>
        <w:bottom w:val="none" w:sz="0" w:space="0" w:color="auto"/>
        <w:right w:val="none" w:sz="0" w:space="0" w:color="auto"/>
      </w:divBdr>
    </w:div>
    <w:div w:id="120998152">
      <w:bodyDiv w:val="1"/>
      <w:marLeft w:val="0"/>
      <w:marRight w:val="0"/>
      <w:marTop w:val="0"/>
      <w:marBottom w:val="0"/>
      <w:divBdr>
        <w:top w:val="none" w:sz="0" w:space="0" w:color="auto"/>
        <w:left w:val="none" w:sz="0" w:space="0" w:color="auto"/>
        <w:bottom w:val="none" w:sz="0" w:space="0" w:color="auto"/>
        <w:right w:val="none" w:sz="0" w:space="0" w:color="auto"/>
      </w:divBdr>
    </w:div>
    <w:div w:id="215552806">
      <w:bodyDiv w:val="1"/>
      <w:marLeft w:val="0"/>
      <w:marRight w:val="0"/>
      <w:marTop w:val="0"/>
      <w:marBottom w:val="0"/>
      <w:divBdr>
        <w:top w:val="none" w:sz="0" w:space="0" w:color="auto"/>
        <w:left w:val="none" w:sz="0" w:space="0" w:color="auto"/>
        <w:bottom w:val="none" w:sz="0" w:space="0" w:color="auto"/>
        <w:right w:val="none" w:sz="0" w:space="0" w:color="auto"/>
      </w:divBdr>
    </w:div>
    <w:div w:id="237710183">
      <w:bodyDiv w:val="1"/>
      <w:marLeft w:val="0"/>
      <w:marRight w:val="0"/>
      <w:marTop w:val="0"/>
      <w:marBottom w:val="0"/>
      <w:divBdr>
        <w:top w:val="none" w:sz="0" w:space="0" w:color="auto"/>
        <w:left w:val="none" w:sz="0" w:space="0" w:color="auto"/>
        <w:bottom w:val="none" w:sz="0" w:space="0" w:color="auto"/>
        <w:right w:val="none" w:sz="0" w:space="0" w:color="auto"/>
      </w:divBdr>
    </w:div>
    <w:div w:id="274676345">
      <w:bodyDiv w:val="1"/>
      <w:marLeft w:val="0"/>
      <w:marRight w:val="0"/>
      <w:marTop w:val="0"/>
      <w:marBottom w:val="0"/>
      <w:divBdr>
        <w:top w:val="none" w:sz="0" w:space="0" w:color="auto"/>
        <w:left w:val="none" w:sz="0" w:space="0" w:color="auto"/>
        <w:bottom w:val="none" w:sz="0" w:space="0" w:color="auto"/>
        <w:right w:val="none" w:sz="0" w:space="0" w:color="auto"/>
      </w:divBdr>
    </w:div>
    <w:div w:id="275606494">
      <w:bodyDiv w:val="1"/>
      <w:marLeft w:val="0"/>
      <w:marRight w:val="0"/>
      <w:marTop w:val="0"/>
      <w:marBottom w:val="0"/>
      <w:divBdr>
        <w:top w:val="none" w:sz="0" w:space="0" w:color="auto"/>
        <w:left w:val="none" w:sz="0" w:space="0" w:color="auto"/>
        <w:bottom w:val="none" w:sz="0" w:space="0" w:color="auto"/>
        <w:right w:val="none" w:sz="0" w:space="0" w:color="auto"/>
      </w:divBdr>
    </w:div>
    <w:div w:id="571083253">
      <w:bodyDiv w:val="1"/>
      <w:marLeft w:val="0"/>
      <w:marRight w:val="0"/>
      <w:marTop w:val="0"/>
      <w:marBottom w:val="0"/>
      <w:divBdr>
        <w:top w:val="none" w:sz="0" w:space="0" w:color="auto"/>
        <w:left w:val="none" w:sz="0" w:space="0" w:color="auto"/>
        <w:bottom w:val="none" w:sz="0" w:space="0" w:color="auto"/>
        <w:right w:val="none" w:sz="0" w:space="0" w:color="auto"/>
      </w:divBdr>
    </w:div>
    <w:div w:id="633103527">
      <w:bodyDiv w:val="1"/>
      <w:marLeft w:val="0"/>
      <w:marRight w:val="0"/>
      <w:marTop w:val="0"/>
      <w:marBottom w:val="0"/>
      <w:divBdr>
        <w:top w:val="none" w:sz="0" w:space="0" w:color="auto"/>
        <w:left w:val="none" w:sz="0" w:space="0" w:color="auto"/>
        <w:bottom w:val="none" w:sz="0" w:space="0" w:color="auto"/>
        <w:right w:val="none" w:sz="0" w:space="0" w:color="auto"/>
      </w:divBdr>
    </w:div>
    <w:div w:id="693306359">
      <w:bodyDiv w:val="1"/>
      <w:marLeft w:val="0"/>
      <w:marRight w:val="0"/>
      <w:marTop w:val="0"/>
      <w:marBottom w:val="0"/>
      <w:divBdr>
        <w:top w:val="none" w:sz="0" w:space="0" w:color="auto"/>
        <w:left w:val="none" w:sz="0" w:space="0" w:color="auto"/>
        <w:bottom w:val="none" w:sz="0" w:space="0" w:color="auto"/>
        <w:right w:val="none" w:sz="0" w:space="0" w:color="auto"/>
      </w:divBdr>
    </w:div>
    <w:div w:id="754325090">
      <w:bodyDiv w:val="1"/>
      <w:marLeft w:val="0"/>
      <w:marRight w:val="0"/>
      <w:marTop w:val="0"/>
      <w:marBottom w:val="0"/>
      <w:divBdr>
        <w:top w:val="none" w:sz="0" w:space="0" w:color="auto"/>
        <w:left w:val="none" w:sz="0" w:space="0" w:color="auto"/>
        <w:bottom w:val="none" w:sz="0" w:space="0" w:color="auto"/>
        <w:right w:val="none" w:sz="0" w:space="0" w:color="auto"/>
      </w:divBdr>
    </w:div>
    <w:div w:id="905990596">
      <w:bodyDiv w:val="1"/>
      <w:marLeft w:val="0"/>
      <w:marRight w:val="0"/>
      <w:marTop w:val="0"/>
      <w:marBottom w:val="0"/>
      <w:divBdr>
        <w:top w:val="none" w:sz="0" w:space="0" w:color="auto"/>
        <w:left w:val="none" w:sz="0" w:space="0" w:color="auto"/>
        <w:bottom w:val="none" w:sz="0" w:space="0" w:color="auto"/>
        <w:right w:val="none" w:sz="0" w:space="0" w:color="auto"/>
      </w:divBdr>
    </w:div>
    <w:div w:id="1069885080">
      <w:bodyDiv w:val="1"/>
      <w:marLeft w:val="0"/>
      <w:marRight w:val="0"/>
      <w:marTop w:val="0"/>
      <w:marBottom w:val="0"/>
      <w:divBdr>
        <w:top w:val="none" w:sz="0" w:space="0" w:color="auto"/>
        <w:left w:val="none" w:sz="0" w:space="0" w:color="auto"/>
        <w:bottom w:val="none" w:sz="0" w:space="0" w:color="auto"/>
        <w:right w:val="none" w:sz="0" w:space="0" w:color="auto"/>
      </w:divBdr>
    </w:div>
    <w:div w:id="1110079691">
      <w:bodyDiv w:val="1"/>
      <w:marLeft w:val="0"/>
      <w:marRight w:val="0"/>
      <w:marTop w:val="0"/>
      <w:marBottom w:val="0"/>
      <w:divBdr>
        <w:top w:val="none" w:sz="0" w:space="0" w:color="auto"/>
        <w:left w:val="none" w:sz="0" w:space="0" w:color="auto"/>
        <w:bottom w:val="none" w:sz="0" w:space="0" w:color="auto"/>
        <w:right w:val="none" w:sz="0" w:space="0" w:color="auto"/>
      </w:divBdr>
    </w:div>
    <w:div w:id="1293360549">
      <w:bodyDiv w:val="1"/>
      <w:marLeft w:val="0"/>
      <w:marRight w:val="0"/>
      <w:marTop w:val="0"/>
      <w:marBottom w:val="0"/>
      <w:divBdr>
        <w:top w:val="none" w:sz="0" w:space="0" w:color="auto"/>
        <w:left w:val="none" w:sz="0" w:space="0" w:color="auto"/>
        <w:bottom w:val="none" w:sz="0" w:space="0" w:color="auto"/>
        <w:right w:val="none" w:sz="0" w:space="0" w:color="auto"/>
      </w:divBdr>
    </w:div>
    <w:div w:id="1409882457">
      <w:bodyDiv w:val="1"/>
      <w:marLeft w:val="0"/>
      <w:marRight w:val="0"/>
      <w:marTop w:val="0"/>
      <w:marBottom w:val="0"/>
      <w:divBdr>
        <w:top w:val="none" w:sz="0" w:space="0" w:color="auto"/>
        <w:left w:val="none" w:sz="0" w:space="0" w:color="auto"/>
        <w:bottom w:val="none" w:sz="0" w:space="0" w:color="auto"/>
        <w:right w:val="none" w:sz="0" w:space="0" w:color="auto"/>
      </w:divBdr>
    </w:div>
    <w:div w:id="1453086817">
      <w:bodyDiv w:val="1"/>
      <w:marLeft w:val="0"/>
      <w:marRight w:val="0"/>
      <w:marTop w:val="0"/>
      <w:marBottom w:val="0"/>
      <w:divBdr>
        <w:top w:val="none" w:sz="0" w:space="0" w:color="auto"/>
        <w:left w:val="none" w:sz="0" w:space="0" w:color="auto"/>
        <w:bottom w:val="none" w:sz="0" w:space="0" w:color="auto"/>
        <w:right w:val="none" w:sz="0" w:space="0" w:color="auto"/>
      </w:divBdr>
    </w:div>
    <w:div w:id="1467695454">
      <w:bodyDiv w:val="1"/>
      <w:marLeft w:val="0"/>
      <w:marRight w:val="0"/>
      <w:marTop w:val="0"/>
      <w:marBottom w:val="0"/>
      <w:divBdr>
        <w:top w:val="none" w:sz="0" w:space="0" w:color="auto"/>
        <w:left w:val="none" w:sz="0" w:space="0" w:color="auto"/>
        <w:bottom w:val="none" w:sz="0" w:space="0" w:color="auto"/>
        <w:right w:val="none" w:sz="0" w:space="0" w:color="auto"/>
      </w:divBdr>
    </w:div>
    <w:div w:id="1615862711">
      <w:bodyDiv w:val="1"/>
      <w:marLeft w:val="0"/>
      <w:marRight w:val="0"/>
      <w:marTop w:val="0"/>
      <w:marBottom w:val="0"/>
      <w:divBdr>
        <w:top w:val="none" w:sz="0" w:space="0" w:color="auto"/>
        <w:left w:val="none" w:sz="0" w:space="0" w:color="auto"/>
        <w:bottom w:val="none" w:sz="0" w:space="0" w:color="auto"/>
        <w:right w:val="none" w:sz="0" w:space="0" w:color="auto"/>
      </w:divBdr>
    </w:div>
    <w:div w:id="1712997345">
      <w:bodyDiv w:val="1"/>
      <w:marLeft w:val="0"/>
      <w:marRight w:val="0"/>
      <w:marTop w:val="0"/>
      <w:marBottom w:val="0"/>
      <w:divBdr>
        <w:top w:val="none" w:sz="0" w:space="0" w:color="auto"/>
        <w:left w:val="none" w:sz="0" w:space="0" w:color="auto"/>
        <w:bottom w:val="none" w:sz="0" w:space="0" w:color="auto"/>
        <w:right w:val="none" w:sz="0" w:space="0" w:color="auto"/>
      </w:divBdr>
    </w:div>
    <w:div w:id="1806190674">
      <w:bodyDiv w:val="1"/>
      <w:marLeft w:val="0"/>
      <w:marRight w:val="0"/>
      <w:marTop w:val="0"/>
      <w:marBottom w:val="0"/>
      <w:divBdr>
        <w:top w:val="none" w:sz="0" w:space="0" w:color="auto"/>
        <w:left w:val="none" w:sz="0" w:space="0" w:color="auto"/>
        <w:bottom w:val="none" w:sz="0" w:space="0" w:color="auto"/>
        <w:right w:val="none" w:sz="0" w:space="0" w:color="auto"/>
      </w:divBdr>
    </w:div>
    <w:div w:id="1861895588">
      <w:bodyDiv w:val="1"/>
      <w:marLeft w:val="0"/>
      <w:marRight w:val="0"/>
      <w:marTop w:val="0"/>
      <w:marBottom w:val="0"/>
      <w:divBdr>
        <w:top w:val="none" w:sz="0" w:space="0" w:color="auto"/>
        <w:left w:val="none" w:sz="0" w:space="0" w:color="auto"/>
        <w:bottom w:val="none" w:sz="0" w:space="0" w:color="auto"/>
        <w:right w:val="none" w:sz="0" w:space="0" w:color="auto"/>
      </w:divBdr>
    </w:div>
    <w:div w:id="2011831035">
      <w:bodyDiv w:val="1"/>
      <w:marLeft w:val="0"/>
      <w:marRight w:val="0"/>
      <w:marTop w:val="0"/>
      <w:marBottom w:val="0"/>
      <w:divBdr>
        <w:top w:val="none" w:sz="0" w:space="0" w:color="auto"/>
        <w:left w:val="none" w:sz="0" w:space="0" w:color="auto"/>
        <w:bottom w:val="none" w:sz="0" w:space="0" w:color="auto"/>
        <w:right w:val="none" w:sz="0" w:space="0" w:color="auto"/>
      </w:divBdr>
    </w:div>
    <w:div w:id="2013868254">
      <w:bodyDiv w:val="1"/>
      <w:marLeft w:val="0"/>
      <w:marRight w:val="0"/>
      <w:marTop w:val="0"/>
      <w:marBottom w:val="0"/>
      <w:divBdr>
        <w:top w:val="none" w:sz="0" w:space="0" w:color="auto"/>
        <w:left w:val="none" w:sz="0" w:space="0" w:color="auto"/>
        <w:bottom w:val="none" w:sz="0" w:space="0" w:color="auto"/>
        <w:right w:val="none" w:sz="0" w:space="0" w:color="auto"/>
      </w:divBdr>
    </w:div>
    <w:div w:id="2019650580">
      <w:bodyDiv w:val="1"/>
      <w:marLeft w:val="0"/>
      <w:marRight w:val="0"/>
      <w:marTop w:val="0"/>
      <w:marBottom w:val="0"/>
      <w:divBdr>
        <w:top w:val="none" w:sz="0" w:space="0" w:color="auto"/>
        <w:left w:val="none" w:sz="0" w:space="0" w:color="auto"/>
        <w:bottom w:val="none" w:sz="0" w:space="0" w:color="auto"/>
        <w:right w:val="none" w:sz="0" w:space="0" w:color="auto"/>
      </w:divBdr>
    </w:div>
    <w:div w:id="2127769153">
      <w:bodyDiv w:val="1"/>
      <w:marLeft w:val="0"/>
      <w:marRight w:val="0"/>
      <w:marTop w:val="0"/>
      <w:marBottom w:val="0"/>
      <w:divBdr>
        <w:top w:val="none" w:sz="0" w:space="0" w:color="auto"/>
        <w:left w:val="none" w:sz="0" w:space="0" w:color="auto"/>
        <w:bottom w:val="none" w:sz="0" w:space="0" w:color="auto"/>
        <w:right w:val="none" w:sz="0" w:space="0" w:color="auto"/>
      </w:divBdr>
    </w:div>
    <w:div w:id="2143839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vt:lpwstr>
  </property>
  <property fmtid="{D5CDD505-2E9C-101B-9397-08002B2CF9AE}" pid="4" name="AshurstClientDescription">
    <vt:lpwstr>J.P. Morgan Securities Plc</vt:lpwstr>
  </property>
  <property fmtid="{D5CDD505-2E9C-101B-9397-08002B2CF9AE}" pid="5" name="AshurstClientID">
    <vt:lpwstr>JPM27</vt:lpwstr>
  </property>
  <property fmtid="{D5CDD505-2E9C-101B-9397-08002B2CF9AE}" pid="6" name="AshurstClientNumber">
    <vt:lpwstr>JPM27</vt:lpwstr>
  </property>
  <property fmtid="{D5CDD505-2E9C-101B-9397-08002B2CF9AE}" pid="7" name="AshurstDocNumber">
    <vt:lpwstr>368099712</vt:lpwstr>
  </property>
  <property fmtid="{D5CDD505-2E9C-101B-9397-08002B2CF9AE}" pid="8" name="AshurstDocRef">
    <vt:lpwstr>09:57\24 July 2026\EUS_ONPREM\BJIVAN\368099712.04</vt:lpwstr>
  </property>
  <property fmtid="{D5CDD505-2E9C-101B-9397-08002B2CF9AE}" pid="9" name="AshurstDocRefCoverPage">
    <vt:lpwstr>AshurstDocRefCoverPage</vt:lpwstr>
  </property>
  <property fmtid="{D5CDD505-2E9C-101B-9397-08002B2CF9AE}" pid="10" name="AshurstFeeEarnerInitials">
    <vt:lpwstr>FE Initials</vt:lpwstr>
  </property>
  <property fmtid="{D5CDD505-2E9C-101B-9397-08002B2CF9AE}" pid="11" name="AshurstFileNumber">
    <vt:lpwstr>JPM27.1000-282-780</vt:lpwstr>
  </property>
  <property fmtid="{D5CDD505-2E9C-101B-9397-08002B2CF9AE}" pid="12" name="AshurstLibraryName">
    <vt:lpwstr>EUS_ONPREM</vt:lpwstr>
  </property>
  <property fmtid="{D5CDD505-2E9C-101B-9397-08002B2CF9AE}" pid="13" name="AshurstMatterDescription">
    <vt:lpwstr>(i) Supplement No. 4 to the 16 April 2026 Offering Circular; (ii) Supplement No. 4 to the 16 April 2026 Base Prospectus; (iii) Supplement No. 11 to the 14 August 2025 Unlisted CIP Programme Memorandum; (iv) Supplement No. 3 to the 15 April 2026</vt:lpwstr>
  </property>
  <property fmtid="{D5CDD505-2E9C-101B-9397-08002B2CF9AE}" pid="14" name="AshurstMatterID">
    <vt:lpwstr>1000-286-565</vt:lpwstr>
  </property>
  <property fmtid="{D5CDD505-2E9C-101B-9397-08002B2CF9AE}" pid="15" name="AshurstMatterNumber">
    <vt:lpwstr>1000-286-565</vt:lpwstr>
  </property>
  <property fmtid="{D5CDD505-2E9C-101B-9397-08002B2CF9AE}" pid="16" name="AshurstOurRef">
    <vt:lpwstr>BJIVAN\JPM27.1000-286-565</vt:lpwstr>
  </property>
  <property fmtid="{D5CDD505-2E9C-101B-9397-08002B2CF9AE}" pid="17" name="AshurstPartnerInitials">
    <vt:lpwstr>Partner Initials</vt:lpwstr>
  </property>
  <property fmtid="{D5CDD505-2E9C-101B-9397-08002B2CF9AE}" pid="18" name="document number">
    <vt:lpwstr>\</vt:lpwstr>
  </property>
  <property fmtid="{D5CDD505-2E9C-101B-9397-08002B2CF9AE}" pid="19" name="MSIP_Label_1ebcac49-0f25-4518-ae1e-999dfc5af7c9_Enabled">
    <vt:lpwstr>true</vt:lpwstr>
  </property>
  <property fmtid="{D5CDD505-2E9C-101B-9397-08002B2CF9AE}" pid="20" name="MSIP_Label_1ebcac49-0f25-4518-ae1e-999dfc5af7c9_SetDate">
    <vt:lpwstr>2025-10-15T01:20:28Z</vt:lpwstr>
  </property>
  <property fmtid="{D5CDD505-2E9C-101B-9397-08002B2CF9AE}" pid="21" name="MSIP_Label_1ebcac49-0f25-4518-ae1e-999dfc5af7c9_Method">
    <vt:lpwstr>Standard</vt:lpwstr>
  </property>
  <property fmtid="{D5CDD505-2E9C-101B-9397-08002B2CF9AE}" pid="22" name="MSIP_Label_1ebcac49-0f25-4518-ae1e-999dfc5af7c9_Name">
    <vt:lpwstr>Confidential</vt:lpwstr>
  </property>
  <property fmtid="{D5CDD505-2E9C-101B-9397-08002B2CF9AE}" pid="23" name="MSIP_Label_1ebcac49-0f25-4518-ae1e-999dfc5af7c9_SiteId">
    <vt:lpwstr>0bb6abcc-a4cb-4fe2-9b52-d3ab6bae9014</vt:lpwstr>
  </property>
  <property fmtid="{D5CDD505-2E9C-101B-9397-08002B2CF9AE}" pid="24" name="MSIP_Label_1ebcac49-0f25-4518-ae1e-999dfc5af7c9_ActionId">
    <vt:lpwstr>ad110609-8515-41b6-9901-9511af980f18</vt:lpwstr>
  </property>
  <property fmtid="{D5CDD505-2E9C-101B-9397-08002B2CF9AE}" pid="25" name="MSIP_Label_1ebcac49-0f25-4518-ae1e-999dfc5af7c9_ContentBits">
    <vt:lpwstr>0</vt:lpwstr>
  </property>
</Properties>
</file>